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F13" w:rsidRDefault="0068016D" w:rsidP="00D75C70">
      <w:pPr>
        <w:spacing w:after="0" w:line="240" w:lineRule="auto"/>
        <w:rPr>
          <w:rFonts w:ascii="Arial" w:hAnsi="Arial" w:cs="Arial"/>
          <w:sz w:val="16"/>
          <w:szCs w:val="16"/>
        </w:rPr>
      </w:pPr>
      <w:r>
        <w:rPr>
          <w:rFonts w:ascii="Arial" w:hAnsi="Arial" w:cs="Arial"/>
          <w:noProof/>
          <w:sz w:val="16"/>
          <w:szCs w:val="16"/>
        </w:rPr>
        <w:drawing>
          <wp:anchor distT="0" distB="0" distL="114300" distR="114300" simplePos="0" relativeHeight="251658240" behindDoc="0" locked="0" layoutInCell="1" allowOverlap="1">
            <wp:simplePos x="0" y="0"/>
            <wp:positionH relativeFrom="column">
              <wp:posOffset>-27864</wp:posOffset>
            </wp:positionH>
            <wp:positionV relativeFrom="paragraph">
              <wp:posOffset>-192774</wp:posOffset>
            </wp:positionV>
            <wp:extent cx="2041762" cy="470848"/>
            <wp:effectExtent l="19050" t="0" r="0" b="0"/>
            <wp:wrapNone/>
            <wp:docPr id="3" name="Picture 2" descr="Regions Bank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ons Bank logo.png"/>
                    <pic:cNvPicPr/>
                  </pic:nvPicPr>
                  <pic:blipFill>
                    <a:blip r:embed="rId4" cstate="print"/>
                    <a:stretch>
                      <a:fillRect/>
                    </a:stretch>
                  </pic:blipFill>
                  <pic:spPr>
                    <a:xfrm>
                      <a:off x="0" y="0"/>
                      <a:ext cx="2041762" cy="470848"/>
                    </a:xfrm>
                    <a:prstGeom prst="rect">
                      <a:avLst/>
                    </a:prstGeom>
                  </pic:spPr>
                </pic:pic>
              </a:graphicData>
            </a:graphic>
          </wp:anchor>
        </w:drawing>
      </w:r>
      <w:r w:rsidR="00274B1A">
        <w:rPr>
          <w:rFonts w:ascii="Arial" w:hAnsi="Arial" w:cs="Arial"/>
          <w:noProof/>
          <w:sz w:val="16"/>
          <w:szCs w:val="16"/>
        </w:rPr>
        <w:drawing>
          <wp:anchor distT="0" distB="0" distL="114300" distR="114300" simplePos="0" relativeHeight="251664384" behindDoc="0" locked="0" layoutInCell="1" allowOverlap="1">
            <wp:simplePos x="0" y="0"/>
            <wp:positionH relativeFrom="column">
              <wp:posOffset>5943032</wp:posOffset>
            </wp:positionH>
            <wp:positionV relativeFrom="paragraph">
              <wp:posOffset>-226894</wp:posOffset>
            </wp:positionV>
            <wp:extent cx="942321" cy="197893"/>
            <wp:effectExtent l="19050" t="0" r="0" b="0"/>
            <wp:wrapNone/>
            <wp:docPr id="4" name="Picture 2" descr="Regions Bank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ons Bank logo.png"/>
                    <pic:cNvPicPr/>
                  </pic:nvPicPr>
                  <pic:blipFill>
                    <a:blip r:embed="rId5" cstate="print"/>
                    <a:stretch>
                      <a:fillRect/>
                    </a:stretch>
                  </pic:blipFill>
                  <pic:spPr>
                    <a:xfrm>
                      <a:off x="0" y="0"/>
                      <a:ext cx="942321" cy="197893"/>
                    </a:xfrm>
                    <a:prstGeom prst="rect">
                      <a:avLst/>
                    </a:prstGeom>
                  </pic:spPr>
                </pic:pic>
              </a:graphicData>
            </a:graphic>
          </wp:anchor>
        </w:drawing>
      </w:r>
    </w:p>
    <w:p w:rsidR="007F4F13" w:rsidRDefault="007F4F13" w:rsidP="00D75C70">
      <w:pPr>
        <w:spacing w:after="0" w:line="240" w:lineRule="auto"/>
        <w:rPr>
          <w:rFonts w:ascii="Arial" w:hAnsi="Arial" w:cs="Arial"/>
          <w:sz w:val="16"/>
          <w:szCs w:val="16"/>
        </w:rPr>
      </w:pPr>
    </w:p>
    <w:p w:rsidR="00274B1A" w:rsidRPr="00526F75" w:rsidRDefault="00526F75" w:rsidP="00D75C70">
      <w:pPr>
        <w:spacing w:after="0" w:line="240" w:lineRule="auto"/>
        <w:rPr>
          <w:rFonts w:ascii="Arial" w:hAnsi="Arial" w:cs="Arial"/>
          <w:b/>
          <w:sz w:val="18"/>
          <w:szCs w:val="18"/>
        </w:rPr>
      </w:pP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00494DE5">
        <w:rPr>
          <w:rFonts w:ascii="Arial" w:hAnsi="Arial" w:cs="Arial"/>
          <w:b/>
          <w:sz w:val="18"/>
          <w:szCs w:val="18"/>
        </w:rPr>
        <w:t>Page 1 of 1</w:t>
      </w:r>
    </w:p>
    <w:p w:rsidR="00526F75" w:rsidRDefault="00BF4388" w:rsidP="00D06299">
      <w:pPr>
        <w:rPr>
          <w:rFonts w:ascii="Arial" w:hAnsi="Arial" w:cs="Arial"/>
          <w:sz w:val="16"/>
          <w:szCs w:val="16"/>
        </w:rPr>
      </w:pPr>
      <w:r w:rsidRPr="007F4F13">
        <w:rPr>
          <w:sz w:val="18"/>
          <w:szCs w:val="18"/>
        </w:rPr>
        <w:tab/>
      </w:r>
      <w:r w:rsidRPr="007F4F13">
        <w:rPr>
          <w:sz w:val="18"/>
          <w:szCs w:val="18"/>
        </w:rPr>
        <w:tab/>
      </w:r>
      <w:r w:rsidRPr="007F4F13">
        <w:rPr>
          <w:sz w:val="18"/>
          <w:szCs w:val="18"/>
        </w:rPr>
        <w:tab/>
      </w:r>
      <w:r w:rsidRPr="007F4F13">
        <w:rPr>
          <w:sz w:val="18"/>
          <w:szCs w:val="18"/>
        </w:rPr>
        <w:tab/>
      </w:r>
      <w:r w:rsidR="007F4F13" w:rsidRPr="00D06299">
        <w:rPr>
          <w:rFonts w:ascii="Arial" w:hAnsi="Arial" w:cs="Arial"/>
          <w:sz w:val="16"/>
          <w:szCs w:val="16"/>
        </w:rPr>
        <w:tab/>
      </w:r>
    </w:p>
    <w:p w:rsidR="00D06299" w:rsidRPr="00D06299" w:rsidRDefault="00D06299" w:rsidP="00526F75">
      <w:pPr>
        <w:spacing w:before="40" w:after="40" w:line="240" w:lineRule="auto"/>
        <w:ind w:left="4320" w:firstLine="720"/>
        <w:rPr>
          <w:rFonts w:ascii="Arial" w:hAnsi="Arial" w:cs="Arial"/>
          <w:b/>
          <w:sz w:val="18"/>
          <w:szCs w:val="18"/>
        </w:rPr>
      </w:pPr>
      <w:r w:rsidRPr="00D06299">
        <w:rPr>
          <w:rFonts w:ascii="Arial" w:hAnsi="Arial" w:cs="Arial"/>
          <w:b/>
          <w:sz w:val="18"/>
          <w:szCs w:val="18"/>
        </w:rPr>
        <w:t xml:space="preserve">Statement number </w:t>
      </w:r>
      <w:r>
        <w:rPr>
          <w:rFonts w:ascii="Arial" w:hAnsi="Arial" w:cs="Arial"/>
          <w:b/>
          <w:sz w:val="18"/>
          <w:szCs w:val="18"/>
        </w:rPr>
        <w:tab/>
      </w:r>
      <w:r w:rsidRPr="00526F75">
        <w:rPr>
          <w:rFonts w:ascii="Arial" w:hAnsi="Arial" w:cs="Arial"/>
          <w:sz w:val="18"/>
          <w:szCs w:val="18"/>
        </w:rPr>
        <w:t>96</w:t>
      </w:r>
    </w:p>
    <w:p w:rsidR="00D06299" w:rsidRPr="00D06299" w:rsidRDefault="00D06299" w:rsidP="00526F75">
      <w:pPr>
        <w:spacing w:before="40" w:after="40" w:line="240" w:lineRule="auto"/>
        <w:rPr>
          <w:rFonts w:ascii="Arial" w:hAnsi="Arial" w:cs="Arial"/>
          <w:b/>
          <w:sz w:val="18"/>
          <w:szCs w:val="18"/>
        </w:rPr>
      </w:pP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sidRPr="00D06299">
        <w:rPr>
          <w:rFonts w:ascii="Arial" w:hAnsi="Arial" w:cs="Arial"/>
          <w:b/>
          <w:sz w:val="18"/>
          <w:szCs w:val="18"/>
        </w:rPr>
        <w:t xml:space="preserve">Issue date   </w:t>
      </w:r>
      <w:r>
        <w:rPr>
          <w:rFonts w:ascii="Arial" w:hAnsi="Arial" w:cs="Arial"/>
          <w:b/>
          <w:sz w:val="18"/>
          <w:szCs w:val="18"/>
        </w:rPr>
        <w:tab/>
      </w:r>
      <w:r>
        <w:rPr>
          <w:rFonts w:ascii="Arial" w:hAnsi="Arial" w:cs="Arial"/>
          <w:b/>
          <w:sz w:val="18"/>
          <w:szCs w:val="18"/>
        </w:rPr>
        <w:tab/>
      </w:r>
      <w:r w:rsidRPr="00526F75">
        <w:rPr>
          <w:rFonts w:ascii="Arial" w:hAnsi="Arial" w:cs="Arial"/>
          <w:sz w:val="18"/>
          <w:szCs w:val="18"/>
        </w:rPr>
        <w:t>06 January02015</w:t>
      </w:r>
    </w:p>
    <w:p w:rsidR="00D06299" w:rsidRPr="00D06299" w:rsidRDefault="00D06299" w:rsidP="00526F75">
      <w:pPr>
        <w:spacing w:before="40" w:after="40" w:line="240" w:lineRule="auto"/>
        <w:rPr>
          <w:rFonts w:ascii="Arial" w:hAnsi="Arial" w:cs="Arial"/>
          <w:b/>
          <w:sz w:val="18"/>
          <w:szCs w:val="18"/>
        </w:rPr>
      </w:pP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sidRPr="00D06299">
        <w:rPr>
          <w:rFonts w:ascii="Arial" w:hAnsi="Arial" w:cs="Arial"/>
          <w:b/>
          <w:sz w:val="18"/>
          <w:szCs w:val="18"/>
        </w:rPr>
        <w:t>Write to us at</w:t>
      </w:r>
      <w:r w:rsidRPr="00D06299">
        <w:rPr>
          <w:rFonts w:ascii="Arial" w:hAnsi="Arial" w:cs="Arial"/>
          <w:b/>
          <w:sz w:val="18"/>
          <w:szCs w:val="18"/>
        </w:rPr>
        <w:tab/>
      </w:r>
      <w:r>
        <w:rPr>
          <w:rFonts w:ascii="Arial" w:hAnsi="Arial" w:cs="Arial"/>
          <w:b/>
          <w:sz w:val="18"/>
          <w:szCs w:val="18"/>
        </w:rPr>
        <w:tab/>
      </w:r>
      <w:r w:rsidRPr="00526F75">
        <w:rPr>
          <w:rFonts w:ascii="Arial" w:hAnsi="Arial" w:cs="Arial"/>
          <w:sz w:val="18"/>
          <w:szCs w:val="18"/>
        </w:rPr>
        <w:t>Box 3, BX11LT</w:t>
      </w:r>
    </w:p>
    <w:p w:rsidR="00D06299" w:rsidRPr="00D06299" w:rsidRDefault="00D06299" w:rsidP="00526F75">
      <w:pPr>
        <w:spacing w:before="40" w:after="40" w:line="240" w:lineRule="auto"/>
        <w:rPr>
          <w:rFonts w:ascii="Arial" w:hAnsi="Arial" w:cs="Arial"/>
          <w:b/>
          <w:sz w:val="18"/>
          <w:szCs w:val="18"/>
        </w:rPr>
      </w:pP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sidRPr="00D06299">
        <w:rPr>
          <w:rFonts w:ascii="Arial" w:hAnsi="Arial" w:cs="Arial"/>
          <w:b/>
          <w:sz w:val="18"/>
          <w:szCs w:val="18"/>
        </w:rPr>
        <w:t xml:space="preserve">Call us on </w:t>
      </w:r>
      <w:r>
        <w:rPr>
          <w:rFonts w:ascii="Arial" w:hAnsi="Arial" w:cs="Arial"/>
          <w:b/>
          <w:sz w:val="18"/>
          <w:szCs w:val="18"/>
        </w:rPr>
        <w:tab/>
      </w:r>
      <w:r>
        <w:rPr>
          <w:rFonts w:ascii="Arial" w:hAnsi="Arial" w:cs="Arial"/>
          <w:b/>
          <w:sz w:val="18"/>
          <w:szCs w:val="18"/>
        </w:rPr>
        <w:tab/>
      </w:r>
      <w:r w:rsidRPr="00526F75">
        <w:rPr>
          <w:rFonts w:ascii="Arial" w:hAnsi="Arial" w:cs="Arial"/>
          <w:sz w:val="18"/>
          <w:szCs w:val="18"/>
        </w:rPr>
        <w:t>08453000000 (from UK</w:t>
      </w:r>
      <w:r w:rsidRPr="00D06299">
        <w:rPr>
          <w:rFonts w:ascii="Arial" w:hAnsi="Arial" w:cs="Arial"/>
          <w:b/>
          <w:sz w:val="18"/>
          <w:szCs w:val="18"/>
        </w:rPr>
        <w:t>)</w:t>
      </w:r>
    </w:p>
    <w:p w:rsidR="00D06299" w:rsidRPr="00D06299" w:rsidRDefault="00D06299" w:rsidP="00526F75">
      <w:pPr>
        <w:spacing w:before="40" w:after="40" w:line="240" w:lineRule="auto"/>
        <w:rPr>
          <w:rFonts w:ascii="Arial" w:hAnsi="Arial" w:cs="Arial"/>
          <w:b/>
          <w:sz w:val="18"/>
          <w:szCs w:val="18"/>
        </w:rPr>
      </w:pPr>
      <w:r w:rsidRPr="00D06299">
        <w:rPr>
          <w:rFonts w:ascii="Arial" w:hAnsi="Arial" w:cs="Arial"/>
          <w:b/>
          <w:sz w:val="18"/>
          <w:szCs w:val="18"/>
        </w:rPr>
        <w:tab/>
      </w:r>
      <w:r w:rsidRPr="00D06299">
        <w:rPr>
          <w:rFonts w:ascii="Arial" w:hAnsi="Arial" w:cs="Arial"/>
          <w:b/>
          <w:sz w:val="18"/>
          <w:szCs w:val="18"/>
        </w:rPr>
        <w:tab/>
      </w:r>
      <w:r w:rsidRPr="00D06299">
        <w:rPr>
          <w:rFonts w:ascii="Arial" w:hAnsi="Arial" w:cs="Arial"/>
          <w:b/>
          <w:sz w:val="18"/>
          <w:szCs w:val="18"/>
        </w:rPr>
        <w:tab/>
      </w:r>
      <w:r w:rsidRPr="00D06299">
        <w:rPr>
          <w:rFonts w:ascii="Arial" w:hAnsi="Arial" w:cs="Arial"/>
          <w:b/>
          <w:sz w:val="18"/>
          <w:szCs w:val="18"/>
        </w:rPr>
        <w:tab/>
      </w:r>
      <w:r w:rsidRPr="00D06299">
        <w:rPr>
          <w:rFonts w:ascii="Arial" w:hAnsi="Arial" w:cs="Arial"/>
          <w:b/>
          <w:sz w:val="18"/>
          <w:szCs w:val="18"/>
        </w:rPr>
        <w:tab/>
      </w:r>
      <w:r w:rsidRPr="00D06299">
        <w:rPr>
          <w:rFonts w:ascii="Arial" w:hAnsi="Arial" w:cs="Arial"/>
          <w:b/>
          <w:sz w:val="18"/>
          <w:szCs w:val="18"/>
        </w:rPr>
        <w:tab/>
      </w:r>
      <w:r w:rsidRPr="00D06299">
        <w:rPr>
          <w:rFonts w:ascii="Arial" w:hAnsi="Arial" w:cs="Arial"/>
          <w:b/>
          <w:sz w:val="18"/>
          <w:szCs w:val="18"/>
        </w:rPr>
        <w:tab/>
      </w:r>
      <w:r>
        <w:rPr>
          <w:rFonts w:ascii="Arial" w:hAnsi="Arial" w:cs="Arial"/>
          <w:b/>
          <w:sz w:val="18"/>
          <w:szCs w:val="18"/>
        </w:rPr>
        <w:t>Visit us online</w:t>
      </w:r>
      <w:r>
        <w:rPr>
          <w:rFonts w:ascii="Arial" w:hAnsi="Arial" w:cs="Arial"/>
          <w:b/>
          <w:sz w:val="18"/>
          <w:szCs w:val="18"/>
        </w:rPr>
        <w:tab/>
      </w:r>
      <w:r>
        <w:rPr>
          <w:rFonts w:ascii="Arial" w:hAnsi="Arial" w:cs="Arial"/>
          <w:b/>
          <w:sz w:val="18"/>
          <w:szCs w:val="18"/>
        </w:rPr>
        <w:tab/>
      </w:r>
      <w:r w:rsidR="00526F75" w:rsidRPr="00526F75">
        <w:rPr>
          <w:rFonts w:ascii="Arial" w:hAnsi="Arial" w:cs="Arial"/>
          <w:sz w:val="18"/>
          <w:szCs w:val="18"/>
        </w:rPr>
        <w:t>www.lloydsbank.</w:t>
      </w:r>
      <w:r w:rsidRPr="00526F75">
        <w:rPr>
          <w:rFonts w:ascii="Arial" w:hAnsi="Arial" w:cs="Arial"/>
          <w:sz w:val="18"/>
          <w:szCs w:val="18"/>
        </w:rPr>
        <w:t>com</w:t>
      </w:r>
      <w:r w:rsidRPr="00D06299">
        <w:rPr>
          <w:rFonts w:ascii="Arial" w:hAnsi="Arial" w:cs="Arial"/>
          <w:b/>
          <w:sz w:val="18"/>
          <w:szCs w:val="18"/>
        </w:rPr>
        <w:t xml:space="preserve"> </w:t>
      </w:r>
    </w:p>
    <w:p w:rsidR="00D06299" w:rsidRPr="00D06299" w:rsidRDefault="00D06299" w:rsidP="00526F75">
      <w:pPr>
        <w:spacing w:before="40" w:after="40" w:line="240" w:lineRule="auto"/>
        <w:rPr>
          <w:rFonts w:ascii="Arial" w:hAnsi="Arial" w:cs="Arial"/>
          <w:b/>
          <w:sz w:val="18"/>
          <w:szCs w:val="18"/>
        </w:rPr>
      </w:pP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sidRPr="00D06299">
        <w:rPr>
          <w:rFonts w:ascii="Arial" w:hAnsi="Arial" w:cs="Arial"/>
          <w:b/>
          <w:sz w:val="18"/>
          <w:szCs w:val="18"/>
        </w:rPr>
        <w:t xml:space="preserve">Your Branch </w:t>
      </w:r>
      <w:r>
        <w:rPr>
          <w:rFonts w:ascii="Arial" w:hAnsi="Arial" w:cs="Arial"/>
          <w:b/>
          <w:sz w:val="18"/>
          <w:szCs w:val="18"/>
        </w:rPr>
        <w:tab/>
      </w:r>
      <w:r>
        <w:rPr>
          <w:rFonts w:ascii="Arial" w:hAnsi="Arial" w:cs="Arial"/>
          <w:b/>
          <w:sz w:val="18"/>
          <w:szCs w:val="18"/>
        </w:rPr>
        <w:tab/>
      </w:r>
      <w:r w:rsidRPr="00526F75">
        <w:rPr>
          <w:rFonts w:ascii="Arial" w:hAnsi="Arial" w:cs="Arial"/>
          <w:sz w:val="18"/>
          <w:szCs w:val="18"/>
        </w:rPr>
        <w:t>GRAYS</w:t>
      </w:r>
    </w:p>
    <w:p w:rsidR="00D06299" w:rsidRPr="00D06299" w:rsidRDefault="00D06299" w:rsidP="00526F75">
      <w:pPr>
        <w:spacing w:before="40" w:after="40" w:line="240" w:lineRule="auto"/>
        <w:rPr>
          <w:rFonts w:ascii="Arial" w:hAnsi="Arial" w:cs="Arial"/>
          <w:b/>
          <w:sz w:val="18"/>
          <w:szCs w:val="18"/>
        </w:rPr>
      </w:pP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sidRPr="00D06299">
        <w:rPr>
          <w:rFonts w:ascii="Arial" w:hAnsi="Arial" w:cs="Arial"/>
          <w:b/>
          <w:sz w:val="18"/>
          <w:szCs w:val="18"/>
        </w:rPr>
        <w:t>Sort Code</w:t>
      </w:r>
      <w:r>
        <w:rPr>
          <w:rFonts w:ascii="Arial" w:hAnsi="Arial" w:cs="Arial"/>
          <w:b/>
          <w:sz w:val="18"/>
          <w:szCs w:val="18"/>
        </w:rPr>
        <w:tab/>
      </w:r>
      <w:r>
        <w:rPr>
          <w:rFonts w:ascii="Arial" w:hAnsi="Arial" w:cs="Arial"/>
          <w:b/>
          <w:sz w:val="18"/>
          <w:szCs w:val="18"/>
        </w:rPr>
        <w:tab/>
      </w:r>
      <w:r w:rsidRPr="00526F75">
        <w:rPr>
          <w:rFonts w:ascii="Arial" w:hAnsi="Arial" w:cs="Arial"/>
          <w:sz w:val="18"/>
          <w:szCs w:val="18"/>
        </w:rPr>
        <w:t>12345</w:t>
      </w:r>
    </w:p>
    <w:p w:rsidR="00D06299" w:rsidRPr="00D06299" w:rsidRDefault="00D06299" w:rsidP="00526F75">
      <w:pPr>
        <w:spacing w:before="40" w:after="40" w:line="240" w:lineRule="auto"/>
        <w:rPr>
          <w:rFonts w:ascii="Arial" w:hAnsi="Arial" w:cs="Arial"/>
          <w:b/>
          <w:sz w:val="18"/>
          <w:szCs w:val="18"/>
        </w:rPr>
      </w:pPr>
      <w:r w:rsidRPr="00D06299">
        <w:rPr>
          <w:rFonts w:ascii="Arial" w:hAnsi="Arial" w:cs="Arial"/>
          <w:b/>
          <w:sz w:val="18"/>
          <w:szCs w:val="18"/>
        </w:rPr>
        <w:tab/>
      </w:r>
      <w:r w:rsidRPr="00D06299">
        <w:rPr>
          <w:rFonts w:ascii="Arial" w:hAnsi="Arial" w:cs="Arial"/>
          <w:b/>
          <w:sz w:val="18"/>
          <w:szCs w:val="18"/>
        </w:rPr>
        <w:tab/>
      </w:r>
      <w:r w:rsidRPr="00D06299">
        <w:rPr>
          <w:rFonts w:ascii="Arial" w:hAnsi="Arial" w:cs="Arial"/>
          <w:b/>
          <w:sz w:val="18"/>
          <w:szCs w:val="18"/>
        </w:rPr>
        <w:tab/>
      </w:r>
      <w:r w:rsidRPr="00D06299">
        <w:rPr>
          <w:rFonts w:ascii="Arial" w:hAnsi="Arial" w:cs="Arial"/>
          <w:b/>
          <w:sz w:val="18"/>
          <w:szCs w:val="18"/>
        </w:rPr>
        <w:tab/>
      </w:r>
      <w:r w:rsidRPr="00D06299">
        <w:rPr>
          <w:rFonts w:ascii="Arial" w:hAnsi="Arial" w:cs="Arial"/>
          <w:b/>
          <w:sz w:val="18"/>
          <w:szCs w:val="18"/>
        </w:rPr>
        <w:tab/>
      </w:r>
      <w:r w:rsidRPr="00D06299">
        <w:rPr>
          <w:rFonts w:ascii="Arial" w:hAnsi="Arial" w:cs="Arial"/>
          <w:b/>
          <w:sz w:val="18"/>
          <w:szCs w:val="18"/>
        </w:rPr>
        <w:tab/>
      </w:r>
      <w:r w:rsidRPr="00D06299">
        <w:rPr>
          <w:rFonts w:ascii="Arial" w:hAnsi="Arial" w:cs="Arial"/>
          <w:b/>
          <w:sz w:val="18"/>
          <w:szCs w:val="18"/>
        </w:rPr>
        <w:tab/>
        <w:t>Account Number</w:t>
      </w:r>
      <w:r>
        <w:rPr>
          <w:rFonts w:ascii="Arial" w:hAnsi="Arial" w:cs="Arial"/>
          <w:b/>
          <w:sz w:val="18"/>
          <w:szCs w:val="18"/>
        </w:rPr>
        <w:tab/>
      </w:r>
      <w:r w:rsidRPr="00526F75">
        <w:rPr>
          <w:rFonts w:ascii="Arial" w:hAnsi="Arial" w:cs="Arial"/>
          <w:sz w:val="18"/>
          <w:szCs w:val="18"/>
        </w:rPr>
        <w:t>8975874587</w:t>
      </w:r>
    </w:p>
    <w:p w:rsidR="00D06299" w:rsidRPr="00D06299" w:rsidRDefault="00D06299" w:rsidP="00526F75">
      <w:pPr>
        <w:spacing w:before="40" w:after="40" w:line="240" w:lineRule="auto"/>
        <w:rPr>
          <w:rFonts w:ascii="Arial" w:hAnsi="Arial" w:cs="Arial"/>
          <w:b/>
          <w:sz w:val="18"/>
          <w:szCs w:val="18"/>
        </w:rPr>
      </w:pP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sidRPr="00D06299">
        <w:rPr>
          <w:rFonts w:ascii="Arial" w:hAnsi="Arial" w:cs="Arial"/>
          <w:b/>
          <w:sz w:val="18"/>
          <w:szCs w:val="18"/>
        </w:rPr>
        <w:t>IBAN</w:t>
      </w:r>
      <w:r>
        <w:rPr>
          <w:rFonts w:ascii="Arial" w:hAnsi="Arial" w:cs="Arial"/>
          <w:b/>
          <w:sz w:val="18"/>
          <w:szCs w:val="18"/>
        </w:rPr>
        <w:tab/>
      </w:r>
      <w:r>
        <w:rPr>
          <w:rFonts w:ascii="Arial" w:hAnsi="Arial" w:cs="Arial"/>
          <w:b/>
          <w:sz w:val="18"/>
          <w:szCs w:val="18"/>
        </w:rPr>
        <w:tab/>
      </w:r>
      <w:r>
        <w:rPr>
          <w:rFonts w:ascii="Arial" w:hAnsi="Arial" w:cs="Arial"/>
          <w:b/>
          <w:sz w:val="18"/>
          <w:szCs w:val="18"/>
        </w:rPr>
        <w:tab/>
      </w:r>
      <w:r w:rsidRPr="00526F75">
        <w:rPr>
          <w:rFonts w:ascii="Arial" w:hAnsi="Arial" w:cs="Arial"/>
          <w:sz w:val="18"/>
          <w:szCs w:val="18"/>
        </w:rPr>
        <w:t>123458</w:t>
      </w:r>
    </w:p>
    <w:p w:rsidR="00D06299" w:rsidRPr="00D06299" w:rsidRDefault="00D06299" w:rsidP="00526F75">
      <w:pPr>
        <w:spacing w:before="40" w:after="40" w:line="240" w:lineRule="auto"/>
        <w:rPr>
          <w:rFonts w:ascii="Arial" w:hAnsi="Arial" w:cs="Arial"/>
          <w:b/>
          <w:sz w:val="18"/>
          <w:szCs w:val="18"/>
        </w:rPr>
      </w:pP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sidRPr="00D06299">
        <w:rPr>
          <w:rFonts w:ascii="Arial" w:hAnsi="Arial" w:cs="Arial"/>
          <w:b/>
          <w:sz w:val="18"/>
          <w:szCs w:val="18"/>
        </w:rPr>
        <w:t>BIC</w:t>
      </w:r>
      <w:r>
        <w:rPr>
          <w:rFonts w:ascii="Arial" w:hAnsi="Arial" w:cs="Arial"/>
          <w:b/>
          <w:sz w:val="18"/>
          <w:szCs w:val="18"/>
        </w:rPr>
        <w:tab/>
      </w:r>
      <w:r>
        <w:rPr>
          <w:rFonts w:ascii="Arial" w:hAnsi="Arial" w:cs="Arial"/>
          <w:b/>
          <w:sz w:val="18"/>
          <w:szCs w:val="18"/>
        </w:rPr>
        <w:tab/>
      </w:r>
      <w:r>
        <w:rPr>
          <w:rFonts w:ascii="Arial" w:hAnsi="Arial" w:cs="Arial"/>
          <w:b/>
          <w:sz w:val="18"/>
          <w:szCs w:val="18"/>
        </w:rPr>
        <w:tab/>
      </w:r>
      <w:r w:rsidRPr="00526F75">
        <w:rPr>
          <w:rFonts w:ascii="Arial" w:hAnsi="Arial" w:cs="Arial"/>
          <w:sz w:val="18"/>
          <w:szCs w:val="18"/>
        </w:rPr>
        <w:t>125458</w:t>
      </w:r>
    </w:p>
    <w:p w:rsidR="00BF4388" w:rsidRPr="007F4F13" w:rsidRDefault="00BF4388" w:rsidP="00526F75">
      <w:pPr>
        <w:spacing w:after="0" w:line="240" w:lineRule="auto"/>
        <w:rPr>
          <w:rFonts w:ascii="Arial" w:hAnsi="Arial" w:cs="Arial"/>
          <w:sz w:val="16"/>
          <w:szCs w:val="16"/>
        </w:rPr>
      </w:pPr>
    </w:p>
    <w:p w:rsidR="00BF4388" w:rsidRPr="007F4F13" w:rsidRDefault="00BF4388" w:rsidP="00BF4388">
      <w:pPr>
        <w:spacing w:after="0" w:line="240" w:lineRule="auto"/>
        <w:rPr>
          <w:rFonts w:ascii="Arial" w:hAnsi="Arial" w:cs="Arial"/>
          <w:sz w:val="16"/>
          <w:szCs w:val="16"/>
        </w:rPr>
      </w:pPr>
    </w:p>
    <w:p w:rsidR="002C798D" w:rsidRDefault="00D5734B" w:rsidP="00D35C45">
      <w:pPr>
        <w:pBdr>
          <w:bottom w:val="single" w:sz="12" w:space="1" w:color="auto"/>
        </w:pBdr>
        <w:spacing w:after="0" w:line="240" w:lineRule="auto"/>
        <w:rPr>
          <w:b/>
          <w:sz w:val="28"/>
          <w:szCs w:val="28"/>
        </w:rPr>
      </w:pPr>
      <w:r w:rsidRPr="00D5734B">
        <w:rPr>
          <w:rFonts w:cs="Arial"/>
          <w:b/>
          <w:sz w:val="28"/>
          <w:szCs w:val="28"/>
        </w:rPr>
        <w:t>SILVER ACCOUNT</w:t>
      </w:r>
      <w:r w:rsidRPr="00D5734B">
        <w:rPr>
          <w:rFonts w:cs="Arial"/>
          <w:b/>
          <w:sz w:val="28"/>
          <w:szCs w:val="28"/>
        </w:rPr>
        <w:tab/>
      </w:r>
      <w:r w:rsidRPr="00D5734B">
        <w:rPr>
          <w:rFonts w:cs="Arial"/>
          <w:b/>
          <w:sz w:val="28"/>
          <w:szCs w:val="28"/>
        </w:rPr>
        <w:tab/>
      </w:r>
      <w:r w:rsidRPr="00D5734B">
        <w:rPr>
          <w:rFonts w:cs="Arial"/>
          <w:b/>
          <w:sz w:val="28"/>
          <w:szCs w:val="28"/>
        </w:rPr>
        <w:tab/>
      </w:r>
      <w:r>
        <w:rPr>
          <w:rFonts w:cs="Arial"/>
          <w:b/>
          <w:sz w:val="28"/>
          <w:szCs w:val="28"/>
        </w:rPr>
        <w:tab/>
      </w:r>
      <w:r>
        <w:rPr>
          <w:rFonts w:cs="Arial"/>
          <w:b/>
          <w:sz w:val="28"/>
          <w:szCs w:val="28"/>
        </w:rPr>
        <w:tab/>
        <w:t xml:space="preserve">      </w:t>
      </w:r>
      <w:r w:rsidRPr="00D5734B">
        <w:rPr>
          <w:b/>
          <w:sz w:val="28"/>
          <w:szCs w:val="28"/>
        </w:rPr>
        <w:t>06 December 2014 to 06 January 2015</w:t>
      </w:r>
    </w:p>
    <w:p w:rsidR="002C798D" w:rsidRPr="00AA64AD" w:rsidRDefault="002C798D" w:rsidP="00F26A45">
      <w:pPr>
        <w:spacing w:after="0" w:line="240" w:lineRule="auto"/>
        <w:rPr>
          <w:b/>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65"/>
        <w:gridCol w:w="2193"/>
        <w:gridCol w:w="270"/>
        <w:gridCol w:w="3060"/>
        <w:gridCol w:w="889"/>
        <w:gridCol w:w="839"/>
      </w:tblGrid>
      <w:tr w:rsidR="002C798D" w:rsidRPr="00951BFA" w:rsidTr="00D35C45">
        <w:trPr>
          <w:trHeight w:val="402"/>
        </w:trPr>
        <w:tc>
          <w:tcPr>
            <w:tcW w:w="2865" w:type="dxa"/>
            <w:vAlign w:val="center"/>
          </w:tcPr>
          <w:p w:rsidR="002C798D" w:rsidRPr="00951BFA" w:rsidRDefault="002C798D" w:rsidP="00B51DAE">
            <w:pPr>
              <w:rPr>
                <w:rFonts w:ascii="Arial" w:hAnsi="Arial" w:cs="Arial"/>
                <w:b/>
                <w:sz w:val="16"/>
                <w:szCs w:val="16"/>
              </w:rPr>
            </w:pPr>
            <w:r w:rsidRPr="00951BFA">
              <w:rPr>
                <w:rFonts w:ascii="Arial" w:hAnsi="Arial" w:cs="Arial"/>
                <w:b/>
                <w:sz w:val="20"/>
                <w:szCs w:val="20"/>
              </w:rPr>
              <w:t>Your Account</w:t>
            </w:r>
          </w:p>
        </w:tc>
        <w:tc>
          <w:tcPr>
            <w:tcW w:w="2193" w:type="dxa"/>
            <w:vAlign w:val="center"/>
          </w:tcPr>
          <w:p w:rsidR="002C798D" w:rsidRPr="00951BFA" w:rsidRDefault="002C798D" w:rsidP="00B51DAE">
            <w:pPr>
              <w:jc w:val="right"/>
              <w:rPr>
                <w:rFonts w:ascii="Arial" w:hAnsi="Arial" w:cs="Arial"/>
                <w:b/>
                <w:sz w:val="16"/>
                <w:szCs w:val="16"/>
              </w:rPr>
            </w:pPr>
          </w:p>
        </w:tc>
        <w:tc>
          <w:tcPr>
            <w:tcW w:w="270" w:type="dxa"/>
            <w:vAlign w:val="center"/>
          </w:tcPr>
          <w:p w:rsidR="002C798D" w:rsidRPr="00951BFA" w:rsidRDefault="002C798D" w:rsidP="00B51DAE">
            <w:pPr>
              <w:rPr>
                <w:rFonts w:ascii="Arial" w:hAnsi="Arial" w:cs="Arial"/>
                <w:b/>
                <w:sz w:val="16"/>
                <w:szCs w:val="16"/>
              </w:rPr>
            </w:pPr>
          </w:p>
        </w:tc>
        <w:tc>
          <w:tcPr>
            <w:tcW w:w="4788" w:type="dxa"/>
            <w:gridSpan w:val="3"/>
            <w:vAlign w:val="center"/>
          </w:tcPr>
          <w:p w:rsidR="002C798D" w:rsidRPr="00951BFA" w:rsidRDefault="002C798D" w:rsidP="00B51DAE">
            <w:pPr>
              <w:jc w:val="right"/>
              <w:rPr>
                <w:rFonts w:ascii="Arial" w:hAnsi="Arial" w:cs="Arial"/>
                <w:b/>
                <w:sz w:val="16"/>
                <w:szCs w:val="16"/>
              </w:rPr>
            </w:pPr>
            <w:r w:rsidRPr="00951BFA">
              <w:rPr>
                <w:rFonts w:ascii="Arial" w:hAnsi="Arial" w:cs="Arial"/>
                <w:b/>
                <w:sz w:val="20"/>
                <w:szCs w:val="20"/>
              </w:rPr>
              <w:t>Planned overdraft limit Euro £250</w:t>
            </w:r>
          </w:p>
        </w:tc>
      </w:tr>
      <w:tr w:rsidR="002C798D" w:rsidRPr="00951BFA" w:rsidTr="00D35C45">
        <w:trPr>
          <w:trHeight w:val="72"/>
        </w:trPr>
        <w:tc>
          <w:tcPr>
            <w:tcW w:w="2865" w:type="dxa"/>
            <w:vMerge w:val="restart"/>
            <w:vAlign w:val="center"/>
          </w:tcPr>
          <w:p w:rsidR="002C798D" w:rsidRPr="00951BFA" w:rsidRDefault="002C798D" w:rsidP="00B51DAE">
            <w:pPr>
              <w:rPr>
                <w:rFonts w:ascii="Arial" w:hAnsi="Arial" w:cs="Arial"/>
                <w:b/>
                <w:sz w:val="20"/>
                <w:szCs w:val="20"/>
              </w:rPr>
            </w:pPr>
            <w:r w:rsidRPr="00951BFA">
              <w:rPr>
                <w:rFonts w:ascii="Arial" w:hAnsi="Arial" w:cs="Arial"/>
                <w:b/>
                <w:sz w:val="20"/>
                <w:szCs w:val="20"/>
              </w:rPr>
              <w:t>Date of previous statement</w:t>
            </w:r>
          </w:p>
        </w:tc>
        <w:tc>
          <w:tcPr>
            <w:tcW w:w="2193" w:type="dxa"/>
            <w:vMerge w:val="restart"/>
            <w:vAlign w:val="center"/>
          </w:tcPr>
          <w:p w:rsidR="002C798D" w:rsidRPr="00951BFA" w:rsidRDefault="002C798D" w:rsidP="00B51DAE">
            <w:pPr>
              <w:jc w:val="right"/>
              <w:rPr>
                <w:rFonts w:ascii="Arial" w:hAnsi="Arial" w:cs="Arial"/>
                <w:b/>
                <w:sz w:val="20"/>
                <w:szCs w:val="20"/>
              </w:rPr>
            </w:pPr>
            <w:r w:rsidRPr="00951BFA">
              <w:rPr>
                <w:rFonts w:ascii="Arial" w:hAnsi="Arial" w:cs="Arial"/>
                <w:b/>
                <w:sz w:val="20"/>
                <w:szCs w:val="20"/>
              </w:rPr>
              <w:t>05 December 2014</w:t>
            </w:r>
          </w:p>
        </w:tc>
        <w:tc>
          <w:tcPr>
            <w:tcW w:w="270" w:type="dxa"/>
            <w:vAlign w:val="center"/>
          </w:tcPr>
          <w:p w:rsidR="002C798D" w:rsidRPr="00951BFA" w:rsidRDefault="002C798D" w:rsidP="00B51DAE">
            <w:pPr>
              <w:rPr>
                <w:rFonts w:ascii="Arial" w:hAnsi="Arial" w:cs="Arial"/>
                <w:b/>
                <w:sz w:val="16"/>
                <w:szCs w:val="16"/>
              </w:rPr>
            </w:pPr>
          </w:p>
        </w:tc>
        <w:tc>
          <w:tcPr>
            <w:tcW w:w="3060" w:type="dxa"/>
            <w:tcBorders>
              <w:bottom w:val="single" w:sz="12" w:space="0" w:color="auto"/>
            </w:tcBorders>
            <w:vAlign w:val="center"/>
          </w:tcPr>
          <w:p w:rsidR="002C798D" w:rsidRPr="00951BFA" w:rsidRDefault="002C798D" w:rsidP="00B51DAE">
            <w:pPr>
              <w:rPr>
                <w:rFonts w:ascii="Arial" w:hAnsi="Arial" w:cs="Arial"/>
                <w:b/>
                <w:sz w:val="16"/>
                <w:szCs w:val="16"/>
              </w:rPr>
            </w:pPr>
            <w:r w:rsidRPr="00951BFA">
              <w:rPr>
                <w:rFonts w:ascii="Arial" w:hAnsi="Arial" w:cs="Arial"/>
                <w:b/>
                <w:sz w:val="16"/>
                <w:szCs w:val="16"/>
              </w:rPr>
              <w:t>Type of Fee</w:t>
            </w:r>
          </w:p>
        </w:tc>
        <w:tc>
          <w:tcPr>
            <w:tcW w:w="889" w:type="dxa"/>
            <w:tcBorders>
              <w:bottom w:val="single" w:sz="12" w:space="0" w:color="auto"/>
            </w:tcBorders>
            <w:vAlign w:val="center"/>
          </w:tcPr>
          <w:p w:rsidR="002C798D" w:rsidRPr="00951BFA" w:rsidRDefault="002C798D" w:rsidP="00B51DAE">
            <w:pPr>
              <w:jc w:val="center"/>
              <w:rPr>
                <w:rFonts w:ascii="Arial" w:hAnsi="Arial" w:cs="Arial"/>
                <w:b/>
                <w:sz w:val="16"/>
                <w:szCs w:val="16"/>
              </w:rPr>
            </w:pPr>
            <w:r w:rsidRPr="00951BFA">
              <w:rPr>
                <w:rFonts w:ascii="Arial" w:hAnsi="Arial" w:cs="Arial"/>
                <w:b/>
                <w:sz w:val="16"/>
                <w:szCs w:val="16"/>
              </w:rPr>
              <w:t>Quantity</w:t>
            </w:r>
          </w:p>
        </w:tc>
        <w:tc>
          <w:tcPr>
            <w:tcW w:w="839" w:type="dxa"/>
            <w:tcBorders>
              <w:bottom w:val="single" w:sz="12" w:space="0" w:color="auto"/>
            </w:tcBorders>
            <w:vAlign w:val="center"/>
          </w:tcPr>
          <w:p w:rsidR="002C798D" w:rsidRPr="00951BFA" w:rsidRDefault="002C798D" w:rsidP="00B51DAE">
            <w:pPr>
              <w:jc w:val="right"/>
              <w:rPr>
                <w:rFonts w:ascii="Arial" w:hAnsi="Arial" w:cs="Arial"/>
                <w:b/>
                <w:sz w:val="16"/>
                <w:szCs w:val="16"/>
              </w:rPr>
            </w:pPr>
            <w:r w:rsidRPr="00951BFA">
              <w:rPr>
                <w:rFonts w:ascii="Arial" w:hAnsi="Arial" w:cs="Arial"/>
                <w:b/>
                <w:sz w:val="16"/>
                <w:szCs w:val="16"/>
              </w:rPr>
              <w:t>Total</w:t>
            </w:r>
          </w:p>
        </w:tc>
      </w:tr>
      <w:tr w:rsidR="002C798D" w:rsidRPr="00951BFA" w:rsidTr="00D35C45">
        <w:trPr>
          <w:trHeight w:val="33"/>
        </w:trPr>
        <w:tc>
          <w:tcPr>
            <w:tcW w:w="2865" w:type="dxa"/>
            <w:vMerge/>
            <w:vAlign w:val="center"/>
          </w:tcPr>
          <w:p w:rsidR="002C798D" w:rsidRPr="00983655" w:rsidRDefault="002C798D" w:rsidP="00B51DAE">
            <w:pPr>
              <w:rPr>
                <w:rFonts w:ascii="Arial" w:hAnsi="Arial" w:cs="Arial"/>
                <w:b/>
                <w:sz w:val="16"/>
                <w:szCs w:val="16"/>
              </w:rPr>
            </w:pPr>
          </w:p>
        </w:tc>
        <w:tc>
          <w:tcPr>
            <w:tcW w:w="2193" w:type="dxa"/>
            <w:vMerge/>
            <w:vAlign w:val="center"/>
          </w:tcPr>
          <w:p w:rsidR="002C798D" w:rsidRPr="00983655" w:rsidRDefault="002C798D" w:rsidP="00B51DAE">
            <w:pPr>
              <w:jc w:val="right"/>
              <w:rPr>
                <w:rFonts w:ascii="Arial" w:hAnsi="Arial" w:cs="Arial"/>
                <w:b/>
                <w:sz w:val="16"/>
                <w:szCs w:val="16"/>
              </w:rPr>
            </w:pPr>
          </w:p>
        </w:tc>
        <w:tc>
          <w:tcPr>
            <w:tcW w:w="270" w:type="dxa"/>
            <w:vAlign w:val="center"/>
          </w:tcPr>
          <w:p w:rsidR="002C798D" w:rsidRPr="00951BFA" w:rsidRDefault="002C798D" w:rsidP="00B51DAE">
            <w:pPr>
              <w:rPr>
                <w:rFonts w:ascii="Arial" w:hAnsi="Arial" w:cs="Arial"/>
                <w:sz w:val="16"/>
                <w:szCs w:val="16"/>
              </w:rPr>
            </w:pPr>
          </w:p>
        </w:tc>
        <w:tc>
          <w:tcPr>
            <w:tcW w:w="3060" w:type="dxa"/>
            <w:tcBorders>
              <w:top w:val="single" w:sz="12" w:space="0" w:color="auto"/>
              <w:bottom w:val="single" w:sz="12" w:space="0" w:color="auto"/>
            </w:tcBorders>
            <w:vAlign w:val="center"/>
          </w:tcPr>
          <w:p w:rsidR="002C798D" w:rsidRPr="00951BFA" w:rsidRDefault="002C798D" w:rsidP="00B51DAE">
            <w:pPr>
              <w:rPr>
                <w:rFonts w:ascii="Arial" w:hAnsi="Arial" w:cs="Arial"/>
                <w:sz w:val="16"/>
                <w:szCs w:val="16"/>
              </w:rPr>
            </w:pPr>
            <w:r w:rsidRPr="00951BFA">
              <w:rPr>
                <w:rFonts w:ascii="Arial" w:hAnsi="Arial" w:cs="Arial"/>
                <w:sz w:val="16"/>
                <w:szCs w:val="16"/>
              </w:rPr>
              <w:t xml:space="preserve">Monthly Overdraft Usage Fee   </w:t>
            </w:r>
          </w:p>
        </w:tc>
        <w:tc>
          <w:tcPr>
            <w:tcW w:w="889" w:type="dxa"/>
            <w:tcBorders>
              <w:bottom w:val="single" w:sz="12" w:space="0" w:color="auto"/>
            </w:tcBorders>
            <w:vAlign w:val="center"/>
          </w:tcPr>
          <w:p w:rsidR="002C798D" w:rsidRPr="00951BFA" w:rsidRDefault="002C798D" w:rsidP="00B51DAE">
            <w:pPr>
              <w:jc w:val="center"/>
              <w:rPr>
                <w:rFonts w:ascii="Arial" w:hAnsi="Arial" w:cs="Arial"/>
                <w:sz w:val="18"/>
                <w:szCs w:val="18"/>
              </w:rPr>
            </w:pPr>
            <w:r w:rsidRPr="00951BFA">
              <w:rPr>
                <w:rFonts w:ascii="Arial" w:hAnsi="Arial" w:cs="Arial"/>
                <w:sz w:val="18"/>
                <w:szCs w:val="18"/>
              </w:rPr>
              <w:t>1</w:t>
            </w:r>
          </w:p>
        </w:tc>
        <w:tc>
          <w:tcPr>
            <w:tcW w:w="839" w:type="dxa"/>
            <w:tcBorders>
              <w:bottom w:val="single" w:sz="12" w:space="0" w:color="auto"/>
            </w:tcBorders>
            <w:vAlign w:val="center"/>
          </w:tcPr>
          <w:p w:rsidR="002C798D" w:rsidRPr="00951BFA" w:rsidRDefault="002C798D" w:rsidP="00B51DAE">
            <w:pPr>
              <w:jc w:val="right"/>
              <w:rPr>
                <w:rFonts w:ascii="Arial" w:hAnsi="Arial" w:cs="Arial"/>
                <w:sz w:val="18"/>
                <w:szCs w:val="18"/>
              </w:rPr>
            </w:pPr>
            <w:r w:rsidRPr="00951BFA">
              <w:rPr>
                <w:rFonts w:ascii="Arial" w:hAnsi="Arial" w:cs="Arial"/>
                <w:sz w:val="18"/>
                <w:szCs w:val="18"/>
              </w:rPr>
              <w:t>£6.00</w:t>
            </w:r>
          </w:p>
        </w:tc>
      </w:tr>
      <w:tr w:rsidR="002C798D" w:rsidRPr="00951BFA" w:rsidTr="00D35C45">
        <w:trPr>
          <w:trHeight w:val="72"/>
        </w:trPr>
        <w:tc>
          <w:tcPr>
            <w:tcW w:w="2865" w:type="dxa"/>
            <w:vMerge w:val="restart"/>
            <w:vAlign w:val="center"/>
          </w:tcPr>
          <w:p w:rsidR="002C798D" w:rsidRPr="00983655" w:rsidRDefault="002C798D" w:rsidP="00B51DAE">
            <w:pPr>
              <w:rPr>
                <w:rFonts w:ascii="Arial" w:hAnsi="Arial" w:cs="Arial"/>
                <w:b/>
                <w:sz w:val="16"/>
                <w:szCs w:val="16"/>
              </w:rPr>
            </w:pPr>
            <w:r w:rsidRPr="00983655">
              <w:rPr>
                <w:rFonts w:ascii="Arial" w:hAnsi="Arial" w:cs="Arial"/>
                <w:b/>
                <w:sz w:val="20"/>
                <w:szCs w:val="20"/>
              </w:rPr>
              <w:t>Balance on 06 Dec 2014</w:t>
            </w:r>
          </w:p>
        </w:tc>
        <w:tc>
          <w:tcPr>
            <w:tcW w:w="2193" w:type="dxa"/>
            <w:vMerge w:val="restart"/>
            <w:vAlign w:val="center"/>
          </w:tcPr>
          <w:p w:rsidR="002C798D" w:rsidRPr="00983655" w:rsidRDefault="002C798D" w:rsidP="00B51DAE">
            <w:pPr>
              <w:jc w:val="right"/>
              <w:rPr>
                <w:rFonts w:ascii="Arial" w:hAnsi="Arial" w:cs="Arial"/>
                <w:b/>
                <w:sz w:val="16"/>
                <w:szCs w:val="16"/>
              </w:rPr>
            </w:pPr>
            <w:r w:rsidRPr="00983655">
              <w:rPr>
                <w:rFonts w:ascii="Arial" w:hAnsi="Arial" w:cs="Arial"/>
                <w:b/>
                <w:sz w:val="20"/>
                <w:szCs w:val="20"/>
              </w:rPr>
              <w:t>£1,265.34</w:t>
            </w:r>
          </w:p>
        </w:tc>
        <w:tc>
          <w:tcPr>
            <w:tcW w:w="270" w:type="dxa"/>
            <w:vAlign w:val="center"/>
          </w:tcPr>
          <w:p w:rsidR="002C798D" w:rsidRPr="00951BFA" w:rsidRDefault="002C798D" w:rsidP="00B51DAE">
            <w:pPr>
              <w:rPr>
                <w:rFonts w:ascii="Arial" w:hAnsi="Arial" w:cs="Arial"/>
                <w:sz w:val="16"/>
                <w:szCs w:val="16"/>
              </w:rPr>
            </w:pPr>
          </w:p>
        </w:tc>
        <w:tc>
          <w:tcPr>
            <w:tcW w:w="3060" w:type="dxa"/>
            <w:tcBorders>
              <w:top w:val="single" w:sz="12" w:space="0" w:color="auto"/>
              <w:bottom w:val="single" w:sz="12" w:space="0" w:color="auto"/>
            </w:tcBorders>
            <w:vAlign w:val="center"/>
          </w:tcPr>
          <w:p w:rsidR="002C798D" w:rsidRPr="00951BFA" w:rsidRDefault="002C798D" w:rsidP="00B51DAE">
            <w:pPr>
              <w:rPr>
                <w:rFonts w:ascii="Arial" w:hAnsi="Arial" w:cs="Arial"/>
                <w:sz w:val="16"/>
                <w:szCs w:val="16"/>
              </w:rPr>
            </w:pPr>
            <w:r w:rsidRPr="00951BFA">
              <w:rPr>
                <w:rFonts w:ascii="Arial" w:hAnsi="Arial" w:cs="Arial"/>
                <w:sz w:val="16"/>
                <w:szCs w:val="16"/>
              </w:rPr>
              <w:t>Monthly account fee</w:t>
            </w:r>
          </w:p>
        </w:tc>
        <w:tc>
          <w:tcPr>
            <w:tcW w:w="889" w:type="dxa"/>
            <w:tcBorders>
              <w:top w:val="single" w:sz="12" w:space="0" w:color="auto"/>
              <w:bottom w:val="single" w:sz="12" w:space="0" w:color="auto"/>
            </w:tcBorders>
            <w:vAlign w:val="center"/>
          </w:tcPr>
          <w:p w:rsidR="002C798D" w:rsidRPr="00951BFA" w:rsidRDefault="002C798D" w:rsidP="00B51DAE">
            <w:pPr>
              <w:jc w:val="center"/>
              <w:rPr>
                <w:rFonts w:ascii="Arial" w:hAnsi="Arial" w:cs="Arial"/>
                <w:sz w:val="18"/>
                <w:szCs w:val="18"/>
              </w:rPr>
            </w:pPr>
            <w:r w:rsidRPr="00951BFA">
              <w:rPr>
                <w:rFonts w:ascii="Arial" w:hAnsi="Arial" w:cs="Arial"/>
                <w:sz w:val="18"/>
                <w:szCs w:val="18"/>
              </w:rPr>
              <w:t>1</w:t>
            </w:r>
          </w:p>
        </w:tc>
        <w:tc>
          <w:tcPr>
            <w:tcW w:w="839" w:type="dxa"/>
            <w:tcBorders>
              <w:top w:val="single" w:sz="12" w:space="0" w:color="auto"/>
              <w:bottom w:val="single" w:sz="12" w:space="0" w:color="auto"/>
            </w:tcBorders>
            <w:vAlign w:val="center"/>
          </w:tcPr>
          <w:p w:rsidR="002C798D" w:rsidRPr="00951BFA" w:rsidRDefault="002C798D" w:rsidP="00B51DAE">
            <w:pPr>
              <w:jc w:val="right"/>
              <w:rPr>
                <w:rFonts w:ascii="Arial" w:hAnsi="Arial" w:cs="Arial"/>
                <w:sz w:val="18"/>
                <w:szCs w:val="18"/>
              </w:rPr>
            </w:pPr>
            <w:r w:rsidRPr="00951BFA">
              <w:rPr>
                <w:rFonts w:ascii="Arial" w:hAnsi="Arial" w:cs="Arial"/>
                <w:sz w:val="18"/>
                <w:szCs w:val="18"/>
              </w:rPr>
              <w:t>£9.95</w:t>
            </w:r>
          </w:p>
        </w:tc>
      </w:tr>
      <w:tr w:rsidR="002C798D" w:rsidRPr="00951BFA" w:rsidTr="00D35C45">
        <w:trPr>
          <w:trHeight w:val="72"/>
        </w:trPr>
        <w:tc>
          <w:tcPr>
            <w:tcW w:w="2865" w:type="dxa"/>
            <w:vMerge/>
            <w:vAlign w:val="center"/>
          </w:tcPr>
          <w:p w:rsidR="002C798D" w:rsidRPr="00983655" w:rsidRDefault="002C798D" w:rsidP="00B51DAE">
            <w:pPr>
              <w:rPr>
                <w:rFonts w:ascii="Arial" w:hAnsi="Arial" w:cs="Arial"/>
                <w:b/>
                <w:sz w:val="16"/>
                <w:szCs w:val="16"/>
              </w:rPr>
            </w:pPr>
          </w:p>
        </w:tc>
        <w:tc>
          <w:tcPr>
            <w:tcW w:w="2193" w:type="dxa"/>
            <w:vMerge/>
            <w:vAlign w:val="center"/>
          </w:tcPr>
          <w:p w:rsidR="002C798D" w:rsidRPr="00983655" w:rsidRDefault="002C798D" w:rsidP="00B51DAE">
            <w:pPr>
              <w:jc w:val="right"/>
              <w:rPr>
                <w:rFonts w:ascii="Arial" w:hAnsi="Arial" w:cs="Arial"/>
                <w:b/>
                <w:sz w:val="16"/>
                <w:szCs w:val="16"/>
              </w:rPr>
            </w:pPr>
          </w:p>
        </w:tc>
        <w:tc>
          <w:tcPr>
            <w:tcW w:w="270" w:type="dxa"/>
            <w:vAlign w:val="center"/>
          </w:tcPr>
          <w:p w:rsidR="002C798D" w:rsidRPr="00951BFA" w:rsidRDefault="002C798D" w:rsidP="00B51DAE">
            <w:pPr>
              <w:rPr>
                <w:rFonts w:ascii="Arial" w:hAnsi="Arial" w:cs="Arial"/>
                <w:sz w:val="16"/>
                <w:szCs w:val="16"/>
              </w:rPr>
            </w:pPr>
          </w:p>
        </w:tc>
        <w:tc>
          <w:tcPr>
            <w:tcW w:w="3060" w:type="dxa"/>
            <w:tcBorders>
              <w:top w:val="single" w:sz="12" w:space="0" w:color="auto"/>
              <w:bottom w:val="single" w:sz="12" w:space="0" w:color="auto"/>
            </w:tcBorders>
            <w:vAlign w:val="center"/>
          </w:tcPr>
          <w:p w:rsidR="002C798D" w:rsidRPr="00951BFA" w:rsidRDefault="002C798D" w:rsidP="00B51DAE">
            <w:pPr>
              <w:rPr>
                <w:rFonts w:ascii="Arial" w:hAnsi="Arial" w:cs="Arial"/>
                <w:sz w:val="16"/>
                <w:szCs w:val="16"/>
              </w:rPr>
            </w:pPr>
            <w:r w:rsidRPr="00951BFA">
              <w:rPr>
                <w:rFonts w:ascii="Arial" w:hAnsi="Arial" w:cs="Arial"/>
                <w:sz w:val="16"/>
                <w:szCs w:val="16"/>
              </w:rPr>
              <w:t>Debit card fee</w:t>
            </w:r>
          </w:p>
        </w:tc>
        <w:tc>
          <w:tcPr>
            <w:tcW w:w="889" w:type="dxa"/>
            <w:tcBorders>
              <w:top w:val="single" w:sz="12" w:space="0" w:color="auto"/>
              <w:bottom w:val="single" w:sz="12" w:space="0" w:color="auto"/>
            </w:tcBorders>
            <w:vAlign w:val="center"/>
          </w:tcPr>
          <w:p w:rsidR="002C798D" w:rsidRPr="00951BFA" w:rsidRDefault="002C798D" w:rsidP="00B51DAE">
            <w:pPr>
              <w:jc w:val="center"/>
              <w:rPr>
                <w:rFonts w:ascii="Arial" w:hAnsi="Arial" w:cs="Arial"/>
                <w:sz w:val="18"/>
                <w:szCs w:val="18"/>
              </w:rPr>
            </w:pPr>
            <w:r>
              <w:rPr>
                <w:rFonts w:ascii="Arial" w:hAnsi="Arial" w:cs="Arial"/>
                <w:sz w:val="18"/>
                <w:szCs w:val="18"/>
              </w:rPr>
              <w:t>6</w:t>
            </w:r>
          </w:p>
        </w:tc>
        <w:tc>
          <w:tcPr>
            <w:tcW w:w="839" w:type="dxa"/>
            <w:tcBorders>
              <w:top w:val="single" w:sz="12" w:space="0" w:color="auto"/>
              <w:bottom w:val="single" w:sz="12" w:space="0" w:color="auto"/>
            </w:tcBorders>
            <w:vAlign w:val="center"/>
          </w:tcPr>
          <w:p w:rsidR="002C798D" w:rsidRPr="00951BFA" w:rsidRDefault="002C798D" w:rsidP="00B51DAE">
            <w:pPr>
              <w:jc w:val="right"/>
              <w:rPr>
                <w:rFonts w:ascii="Arial" w:hAnsi="Arial" w:cs="Arial"/>
                <w:sz w:val="18"/>
                <w:szCs w:val="18"/>
              </w:rPr>
            </w:pPr>
            <w:r w:rsidRPr="00951BFA">
              <w:rPr>
                <w:rFonts w:ascii="Arial" w:hAnsi="Arial" w:cs="Arial"/>
                <w:sz w:val="18"/>
                <w:szCs w:val="18"/>
              </w:rPr>
              <w:t>£8.69</w:t>
            </w:r>
          </w:p>
        </w:tc>
      </w:tr>
      <w:tr w:rsidR="002C798D" w:rsidRPr="00951BFA" w:rsidTr="00D35C45">
        <w:trPr>
          <w:trHeight w:val="72"/>
        </w:trPr>
        <w:tc>
          <w:tcPr>
            <w:tcW w:w="2865" w:type="dxa"/>
            <w:vMerge w:val="restart"/>
            <w:vAlign w:val="center"/>
          </w:tcPr>
          <w:p w:rsidR="002C798D" w:rsidRPr="00983655" w:rsidRDefault="002C798D" w:rsidP="00B51DAE">
            <w:pPr>
              <w:rPr>
                <w:rFonts w:ascii="Arial" w:hAnsi="Arial" w:cs="Arial"/>
                <w:b/>
                <w:sz w:val="16"/>
                <w:szCs w:val="16"/>
              </w:rPr>
            </w:pPr>
            <w:r w:rsidRPr="00983655">
              <w:rPr>
                <w:rFonts w:ascii="Arial" w:hAnsi="Arial" w:cs="Arial"/>
                <w:b/>
                <w:sz w:val="20"/>
                <w:szCs w:val="20"/>
              </w:rPr>
              <w:t>Money in</w:t>
            </w:r>
          </w:p>
        </w:tc>
        <w:tc>
          <w:tcPr>
            <w:tcW w:w="2193" w:type="dxa"/>
            <w:vMerge w:val="restart"/>
            <w:vAlign w:val="center"/>
          </w:tcPr>
          <w:p w:rsidR="002C798D" w:rsidRPr="00983655" w:rsidRDefault="002C798D" w:rsidP="00B51DAE">
            <w:pPr>
              <w:jc w:val="right"/>
              <w:rPr>
                <w:rFonts w:ascii="Arial" w:hAnsi="Arial" w:cs="Arial"/>
                <w:b/>
                <w:sz w:val="16"/>
                <w:szCs w:val="16"/>
              </w:rPr>
            </w:pPr>
            <w:r w:rsidRPr="00983655">
              <w:rPr>
                <w:rFonts w:ascii="Arial" w:hAnsi="Arial" w:cs="Arial"/>
                <w:b/>
                <w:sz w:val="20"/>
                <w:szCs w:val="20"/>
              </w:rPr>
              <w:t>£2,938.23</w:t>
            </w:r>
          </w:p>
        </w:tc>
        <w:tc>
          <w:tcPr>
            <w:tcW w:w="270" w:type="dxa"/>
            <w:vAlign w:val="center"/>
          </w:tcPr>
          <w:p w:rsidR="002C798D" w:rsidRPr="00951BFA" w:rsidRDefault="002C798D" w:rsidP="00B51DAE">
            <w:pPr>
              <w:rPr>
                <w:rFonts w:ascii="Arial" w:hAnsi="Arial" w:cs="Arial"/>
                <w:sz w:val="16"/>
                <w:szCs w:val="16"/>
              </w:rPr>
            </w:pPr>
          </w:p>
        </w:tc>
        <w:tc>
          <w:tcPr>
            <w:tcW w:w="3060" w:type="dxa"/>
            <w:tcBorders>
              <w:top w:val="single" w:sz="12" w:space="0" w:color="auto"/>
              <w:bottom w:val="single" w:sz="12" w:space="0" w:color="auto"/>
            </w:tcBorders>
            <w:vAlign w:val="center"/>
          </w:tcPr>
          <w:p w:rsidR="002C798D" w:rsidRPr="00951BFA" w:rsidRDefault="002C798D" w:rsidP="00B51DAE">
            <w:pPr>
              <w:rPr>
                <w:rFonts w:ascii="Arial" w:hAnsi="Arial" w:cs="Arial"/>
                <w:sz w:val="16"/>
                <w:szCs w:val="16"/>
              </w:rPr>
            </w:pPr>
            <w:r w:rsidRPr="00951BFA">
              <w:rPr>
                <w:rFonts w:ascii="Arial" w:hAnsi="Arial" w:cs="Arial"/>
                <w:sz w:val="16"/>
                <w:szCs w:val="16"/>
              </w:rPr>
              <w:t>Total fees</w:t>
            </w:r>
          </w:p>
        </w:tc>
        <w:tc>
          <w:tcPr>
            <w:tcW w:w="889" w:type="dxa"/>
            <w:tcBorders>
              <w:top w:val="single" w:sz="12" w:space="0" w:color="auto"/>
              <w:bottom w:val="single" w:sz="12" w:space="0" w:color="auto"/>
            </w:tcBorders>
            <w:vAlign w:val="center"/>
          </w:tcPr>
          <w:p w:rsidR="002C798D" w:rsidRPr="00951BFA" w:rsidRDefault="002C798D" w:rsidP="00B51DAE">
            <w:pPr>
              <w:jc w:val="center"/>
              <w:rPr>
                <w:rFonts w:ascii="Arial" w:hAnsi="Arial" w:cs="Arial"/>
                <w:sz w:val="18"/>
                <w:szCs w:val="18"/>
              </w:rPr>
            </w:pPr>
            <w:r>
              <w:rPr>
                <w:rFonts w:ascii="Arial" w:hAnsi="Arial" w:cs="Arial"/>
                <w:sz w:val="18"/>
                <w:szCs w:val="18"/>
              </w:rPr>
              <w:t>8</w:t>
            </w:r>
          </w:p>
        </w:tc>
        <w:tc>
          <w:tcPr>
            <w:tcW w:w="839" w:type="dxa"/>
            <w:tcBorders>
              <w:top w:val="single" w:sz="12" w:space="0" w:color="auto"/>
              <w:bottom w:val="single" w:sz="12" w:space="0" w:color="auto"/>
            </w:tcBorders>
            <w:vAlign w:val="center"/>
          </w:tcPr>
          <w:p w:rsidR="002C798D" w:rsidRPr="00951BFA" w:rsidRDefault="002C798D" w:rsidP="00B51DAE">
            <w:pPr>
              <w:jc w:val="right"/>
              <w:rPr>
                <w:rFonts w:ascii="Arial" w:hAnsi="Arial" w:cs="Arial"/>
                <w:sz w:val="18"/>
                <w:szCs w:val="18"/>
              </w:rPr>
            </w:pPr>
            <w:r w:rsidRPr="00951BFA">
              <w:rPr>
                <w:rFonts w:ascii="Arial" w:hAnsi="Arial" w:cs="Arial"/>
                <w:sz w:val="18"/>
                <w:szCs w:val="18"/>
              </w:rPr>
              <w:t>£24.64</w:t>
            </w:r>
          </w:p>
        </w:tc>
      </w:tr>
      <w:tr w:rsidR="00400C31" w:rsidRPr="00951BFA" w:rsidTr="00D35C45">
        <w:trPr>
          <w:trHeight w:val="72"/>
        </w:trPr>
        <w:tc>
          <w:tcPr>
            <w:tcW w:w="2865" w:type="dxa"/>
            <w:vMerge/>
            <w:vAlign w:val="center"/>
          </w:tcPr>
          <w:p w:rsidR="00400C31" w:rsidRPr="00951BFA" w:rsidRDefault="00400C31" w:rsidP="00B51DAE">
            <w:pPr>
              <w:rPr>
                <w:rFonts w:ascii="Arial" w:hAnsi="Arial" w:cs="Arial"/>
                <w:sz w:val="16"/>
                <w:szCs w:val="16"/>
              </w:rPr>
            </w:pPr>
          </w:p>
        </w:tc>
        <w:tc>
          <w:tcPr>
            <w:tcW w:w="2193" w:type="dxa"/>
            <w:vMerge/>
            <w:vAlign w:val="center"/>
          </w:tcPr>
          <w:p w:rsidR="00400C31" w:rsidRPr="00951BFA" w:rsidRDefault="00400C31" w:rsidP="00B51DAE">
            <w:pPr>
              <w:jc w:val="right"/>
              <w:rPr>
                <w:rFonts w:ascii="Arial" w:hAnsi="Arial" w:cs="Arial"/>
                <w:sz w:val="16"/>
                <w:szCs w:val="16"/>
              </w:rPr>
            </w:pPr>
          </w:p>
        </w:tc>
        <w:tc>
          <w:tcPr>
            <w:tcW w:w="270" w:type="dxa"/>
            <w:vAlign w:val="center"/>
          </w:tcPr>
          <w:p w:rsidR="00400C31" w:rsidRPr="00951BFA" w:rsidRDefault="00400C31" w:rsidP="00B51DAE">
            <w:pPr>
              <w:rPr>
                <w:rFonts w:ascii="Arial" w:hAnsi="Arial" w:cs="Arial"/>
                <w:sz w:val="16"/>
                <w:szCs w:val="16"/>
              </w:rPr>
            </w:pPr>
          </w:p>
        </w:tc>
        <w:tc>
          <w:tcPr>
            <w:tcW w:w="4788" w:type="dxa"/>
            <w:gridSpan w:val="3"/>
            <w:vMerge w:val="restart"/>
          </w:tcPr>
          <w:p w:rsidR="00400C31" w:rsidRDefault="00400C31" w:rsidP="00B51DAE">
            <w:pPr>
              <w:spacing w:before="80"/>
              <w:rPr>
                <w:rFonts w:ascii="Arial" w:hAnsi="Arial" w:cs="Arial"/>
                <w:sz w:val="16"/>
                <w:szCs w:val="16"/>
              </w:rPr>
            </w:pPr>
            <w:r w:rsidRPr="00983655">
              <w:rPr>
                <w:rFonts w:ascii="Arial" w:hAnsi="Arial" w:cs="Arial"/>
                <w:sz w:val="16"/>
                <w:szCs w:val="16"/>
              </w:rPr>
              <w:t>The fees detailed above have been paid during this statement period.</w:t>
            </w:r>
          </w:p>
          <w:p w:rsidR="00400C31" w:rsidRPr="00951BFA" w:rsidRDefault="00400C31" w:rsidP="00D35C45">
            <w:pPr>
              <w:spacing w:before="200"/>
              <w:rPr>
                <w:rFonts w:ascii="Arial" w:hAnsi="Arial" w:cs="Arial"/>
                <w:sz w:val="16"/>
                <w:szCs w:val="16"/>
              </w:rPr>
            </w:pPr>
            <w:r w:rsidRPr="00983655">
              <w:rPr>
                <w:rFonts w:ascii="Arial" w:hAnsi="Arial" w:cs="Arial"/>
                <w:sz w:val="16"/>
                <w:szCs w:val="16"/>
              </w:rPr>
              <w:t>The fees paid in this statement period are highlighted in the ‘Fees Explained’ section and on the reverse.</w:t>
            </w:r>
          </w:p>
        </w:tc>
      </w:tr>
      <w:tr w:rsidR="00400C31" w:rsidRPr="00951BFA" w:rsidTr="00D35C45">
        <w:trPr>
          <w:trHeight w:val="72"/>
        </w:trPr>
        <w:tc>
          <w:tcPr>
            <w:tcW w:w="2865" w:type="dxa"/>
            <w:vMerge w:val="restart"/>
            <w:vAlign w:val="center"/>
          </w:tcPr>
          <w:p w:rsidR="00400C31" w:rsidRPr="00951BFA" w:rsidRDefault="00400C31" w:rsidP="00B51DAE">
            <w:pPr>
              <w:rPr>
                <w:rFonts w:ascii="Arial" w:hAnsi="Arial" w:cs="Arial"/>
                <w:sz w:val="16"/>
                <w:szCs w:val="16"/>
              </w:rPr>
            </w:pPr>
            <w:r w:rsidRPr="00983655">
              <w:rPr>
                <w:rFonts w:ascii="Arial" w:hAnsi="Arial" w:cs="Arial"/>
                <w:b/>
                <w:sz w:val="20"/>
                <w:szCs w:val="20"/>
              </w:rPr>
              <w:t>Money out</w:t>
            </w:r>
          </w:p>
        </w:tc>
        <w:tc>
          <w:tcPr>
            <w:tcW w:w="2193" w:type="dxa"/>
            <w:vMerge w:val="restart"/>
            <w:vAlign w:val="center"/>
          </w:tcPr>
          <w:p w:rsidR="00400C31" w:rsidRPr="00951BFA" w:rsidRDefault="00400C31" w:rsidP="002C798D">
            <w:pPr>
              <w:jc w:val="right"/>
              <w:rPr>
                <w:rFonts w:ascii="Arial" w:hAnsi="Arial" w:cs="Arial"/>
                <w:sz w:val="16"/>
                <w:szCs w:val="16"/>
              </w:rPr>
            </w:pPr>
            <w:r w:rsidRPr="00983655">
              <w:rPr>
                <w:rFonts w:ascii="Arial" w:hAnsi="Arial" w:cs="Arial"/>
                <w:b/>
                <w:sz w:val="20"/>
                <w:szCs w:val="20"/>
              </w:rPr>
              <w:t>£3,040.47</w:t>
            </w:r>
          </w:p>
        </w:tc>
        <w:tc>
          <w:tcPr>
            <w:tcW w:w="270" w:type="dxa"/>
            <w:vAlign w:val="center"/>
          </w:tcPr>
          <w:p w:rsidR="00400C31" w:rsidRPr="00951BFA" w:rsidRDefault="00400C31" w:rsidP="00B51DAE">
            <w:pPr>
              <w:rPr>
                <w:rFonts w:ascii="Arial" w:hAnsi="Arial" w:cs="Arial"/>
                <w:sz w:val="16"/>
                <w:szCs w:val="16"/>
              </w:rPr>
            </w:pPr>
          </w:p>
        </w:tc>
        <w:tc>
          <w:tcPr>
            <w:tcW w:w="4788" w:type="dxa"/>
            <w:gridSpan w:val="3"/>
            <w:vMerge/>
            <w:vAlign w:val="center"/>
          </w:tcPr>
          <w:p w:rsidR="00400C31" w:rsidRPr="00951BFA" w:rsidRDefault="00400C31" w:rsidP="00B51DAE">
            <w:pPr>
              <w:rPr>
                <w:rFonts w:ascii="Arial" w:hAnsi="Arial" w:cs="Arial"/>
                <w:sz w:val="16"/>
                <w:szCs w:val="16"/>
              </w:rPr>
            </w:pPr>
          </w:p>
        </w:tc>
      </w:tr>
      <w:tr w:rsidR="00400C31" w:rsidRPr="00951BFA" w:rsidTr="00D35C45">
        <w:trPr>
          <w:trHeight w:val="72"/>
        </w:trPr>
        <w:tc>
          <w:tcPr>
            <w:tcW w:w="2865" w:type="dxa"/>
            <w:vMerge/>
            <w:vAlign w:val="center"/>
          </w:tcPr>
          <w:p w:rsidR="00400C31" w:rsidRPr="00983655" w:rsidRDefault="00400C31" w:rsidP="00B51DAE">
            <w:pPr>
              <w:rPr>
                <w:rFonts w:ascii="Arial" w:hAnsi="Arial" w:cs="Arial"/>
                <w:b/>
                <w:sz w:val="20"/>
                <w:szCs w:val="20"/>
              </w:rPr>
            </w:pPr>
          </w:p>
        </w:tc>
        <w:tc>
          <w:tcPr>
            <w:tcW w:w="2193" w:type="dxa"/>
            <w:vMerge/>
            <w:vAlign w:val="center"/>
          </w:tcPr>
          <w:p w:rsidR="00400C31" w:rsidRPr="00983655" w:rsidRDefault="00400C31" w:rsidP="002C798D">
            <w:pPr>
              <w:jc w:val="right"/>
              <w:rPr>
                <w:rFonts w:ascii="Arial" w:hAnsi="Arial" w:cs="Arial"/>
                <w:b/>
                <w:sz w:val="20"/>
                <w:szCs w:val="20"/>
              </w:rPr>
            </w:pPr>
          </w:p>
        </w:tc>
        <w:tc>
          <w:tcPr>
            <w:tcW w:w="270" w:type="dxa"/>
            <w:vAlign w:val="center"/>
          </w:tcPr>
          <w:p w:rsidR="00400C31" w:rsidRPr="00951BFA" w:rsidRDefault="00400C31" w:rsidP="00B51DAE">
            <w:pPr>
              <w:rPr>
                <w:rFonts w:ascii="Arial" w:hAnsi="Arial" w:cs="Arial"/>
                <w:sz w:val="16"/>
                <w:szCs w:val="16"/>
              </w:rPr>
            </w:pPr>
          </w:p>
        </w:tc>
        <w:tc>
          <w:tcPr>
            <w:tcW w:w="4788" w:type="dxa"/>
            <w:gridSpan w:val="3"/>
            <w:vMerge/>
            <w:vAlign w:val="center"/>
          </w:tcPr>
          <w:p w:rsidR="00400C31" w:rsidRPr="00951BFA" w:rsidRDefault="00400C31" w:rsidP="00B51DAE">
            <w:pPr>
              <w:rPr>
                <w:rFonts w:ascii="Arial" w:hAnsi="Arial" w:cs="Arial"/>
                <w:sz w:val="16"/>
                <w:szCs w:val="16"/>
              </w:rPr>
            </w:pPr>
          </w:p>
        </w:tc>
      </w:tr>
      <w:tr w:rsidR="00400C31" w:rsidRPr="00951BFA" w:rsidTr="00D35C45">
        <w:trPr>
          <w:trHeight w:val="72"/>
        </w:trPr>
        <w:tc>
          <w:tcPr>
            <w:tcW w:w="2865" w:type="dxa"/>
            <w:vMerge w:val="restart"/>
            <w:vAlign w:val="center"/>
          </w:tcPr>
          <w:p w:rsidR="00400C31" w:rsidRPr="00983655" w:rsidRDefault="00400C31" w:rsidP="00B51DAE">
            <w:pPr>
              <w:rPr>
                <w:rFonts w:ascii="Arial" w:hAnsi="Arial" w:cs="Arial"/>
                <w:b/>
                <w:sz w:val="20"/>
                <w:szCs w:val="20"/>
              </w:rPr>
            </w:pPr>
            <w:r w:rsidRPr="00983655">
              <w:rPr>
                <w:rFonts w:ascii="Arial" w:hAnsi="Arial" w:cs="Arial"/>
                <w:b/>
                <w:sz w:val="20"/>
                <w:szCs w:val="20"/>
              </w:rPr>
              <w:t>Balance on 06 Jan 2015</w:t>
            </w:r>
          </w:p>
        </w:tc>
        <w:tc>
          <w:tcPr>
            <w:tcW w:w="2193" w:type="dxa"/>
            <w:vMerge w:val="restart"/>
            <w:vAlign w:val="center"/>
          </w:tcPr>
          <w:p w:rsidR="00400C31" w:rsidRPr="00983655" w:rsidRDefault="00400C31" w:rsidP="002C798D">
            <w:pPr>
              <w:jc w:val="right"/>
              <w:rPr>
                <w:rFonts w:ascii="Arial" w:hAnsi="Arial" w:cs="Arial"/>
                <w:b/>
                <w:sz w:val="20"/>
                <w:szCs w:val="20"/>
              </w:rPr>
            </w:pPr>
            <w:r w:rsidRPr="00983655">
              <w:rPr>
                <w:rFonts w:ascii="Arial" w:hAnsi="Arial" w:cs="Arial"/>
                <w:b/>
                <w:sz w:val="20"/>
                <w:szCs w:val="20"/>
              </w:rPr>
              <w:t>£1.,163.10</w:t>
            </w:r>
          </w:p>
        </w:tc>
        <w:tc>
          <w:tcPr>
            <w:tcW w:w="270" w:type="dxa"/>
            <w:vAlign w:val="center"/>
          </w:tcPr>
          <w:p w:rsidR="00400C31" w:rsidRPr="00951BFA" w:rsidRDefault="00400C31" w:rsidP="00B51DAE">
            <w:pPr>
              <w:rPr>
                <w:rFonts w:ascii="Arial" w:hAnsi="Arial" w:cs="Arial"/>
                <w:sz w:val="16"/>
                <w:szCs w:val="16"/>
              </w:rPr>
            </w:pPr>
          </w:p>
        </w:tc>
        <w:tc>
          <w:tcPr>
            <w:tcW w:w="4788" w:type="dxa"/>
            <w:gridSpan w:val="3"/>
            <w:vMerge/>
            <w:vAlign w:val="center"/>
          </w:tcPr>
          <w:p w:rsidR="00400C31" w:rsidRPr="00951BFA" w:rsidRDefault="00400C31" w:rsidP="00B51DAE">
            <w:pPr>
              <w:rPr>
                <w:rFonts w:ascii="Arial" w:hAnsi="Arial" w:cs="Arial"/>
                <w:sz w:val="16"/>
                <w:szCs w:val="16"/>
              </w:rPr>
            </w:pPr>
          </w:p>
        </w:tc>
      </w:tr>
      <w:tr w:rsidR="00400C31" w:rsidRPr="00951BFA" w:rsidTr="00D35C45">
        <w:trPr>
          <w:trHeight w:val="72"/>
        </w:trPr>
        <w:tc>
          <w:tcPr>
            <w:tcW w:w="2865" w:type="dxa"/>
            <w:vMerge/>
            <w:vAlign w:val="center"/>
          </w:tcPr>
          <w:p w:rsidR="00400C31" w:rsidRPr="00983655" w:rsidRDefault="00400C31" w:rsidP="00B51DAE">
            <w:pPr>
              <w:rPr>
                <w:rFonts w:ascii="Arial" w:hAnsi="Arial" w:cs="Arial"/>
                <w:b/>
                <w:sz w:val="20"/>
                <w:szCs w:val="20"/>
              </w:rPr>
            </w:pPr>
          </w:p>
        </w:tc>
        <w:tc>
          <w:tcPr>
            <w:tcW w:w="2193" w:type="dxa"/>
            <w:vMerge/>
            <w:vAlign w:val="center"/>
          </w:tcPr>
          <w:p w:rsidR="00400C31" w:rsidRPr="00983655" w:rsidRDefault="00400C31" w:rsidP="002C798D">
            <w:pPr>
              <w:jc w:val="right"/>
              <w:rPr>
                <w:rFonts w:ascii="Arial" w:hAnsi="Arial" w:cs="Arial"/>
                <w:b/>
                <w:sz w:val="20"/>
                <w:szCs w:val="20"/>
              </w:rPr>
            </w:pPr>
          </w:p>
        </w:tc>
        <w:tc>
          <w:tcPr>
            <w:tcW w:w="270" w:type="dxa"/>
            <w:vAlign w:val="center"/>
          </w:tcPr>
          <w:p w:rsidR="00400C31" w:rsidRPr="00951BFA" w:rsidRDefault="00400C31" w:rsidP="00B51DAE">
            <w:pPr>
              <w:rPr>
                <w:rFonts w:ascii="Arial" w:hAnsi="Arial" w:cs="Arial"/>
                <w:sz w:val="16"/>
                <w:szCs w:val="16"/>
              </w:rPr>
            </w:pPr>
          </w:p>
        </w:tc>
        <w:tc>
          <w:tcPr>
            <w:tcW w:w="4788" w:type="dxa"/>
            <w:gridSpan w:val="3"/>
            <w:vMerge/>
            <w:vAlign w:val="center"/>
          </w:tcPr>
          <w:p w:rsidR="00400C31" w:rsidRPr="00951BFA" w:rsidRDefault="00400C31" w:rsidP="00B51DAE">
            <w:pPr>
              <w:rPr>
                <w:rFonts w:ascii="Arial" w:hAnsi="Arial" w:cs="Arial"/>
                <w:sz w:val="16"/>
                <w:szCs w:val="16"/>
              </w:rPr>
            </w:pPr>
          </w:p>
        </w:tc>
      </w:tr>
      <w:tr w:rsidR="00400C31" w:rsidRPr="00951BFA" w:rsidTr="00D35C45">
        <w:trPr>
          <w:trHeight w:val="72"/>
        </w:trPr>
        <w:tc>
          <w:tcPr>
            <w:tcW w:w="2865" w:type="dxa"/>
            <w:vMerge w:val="restart"/>
            <w:vAlign w:val="center"/>
          </w:tcPr>
          <w:p w:rsidR="00400C31" w:rsidRPr="00983655" w:rsidRDefault="00400C31" w:rsidP="00B51DAE">
            <w:pPr>
              <w:rPr>
                <w:rFonts w:ascii="Arial" w:hAnsi="Arial" w:cs="Arial"/>
                <w:b/>
                <w:sz w:val="20"/>
                <w:szCs w:val="20"/>
              </w:rPr>
            </w:pPr>
            <w:r w:rsidRPr="00951BFA">
              <w:rPr>
                <w:rFonts w:ascii="Arial" w:hAnsi="Arial" w:cs="Arial"/>
                <w:sz w:val="20"/>
                <w:szCs w:val="20"/>
              </w:rPr>
              <w:t>Planned debit interest</w:t>
            </w:r>
          </w:p>
        </w:tc>
        <w:tc>
          <w:tcPr>
            <w:tcW w:w="2193" w:type="dxa"/>
            <w:vMerge w:val="restart"/>
            <w:vAlign w:val="center"/>
          </w:tcPr>
          <w:p w:rsidR="00400C31" w:rsidRPr="00983655" w:rsidRDefault="00400C31" w:rsidP="002C798D">
            <w:pPr>
              <w:jc w:val="right"/>
              <w:rPr>
                <w:rFonts w:ascii="Arial" w:hAnsi="Arial" w:cs="Arial"/>
                <w:b/>
                <w:sz w:val="20"/>
                <w:szCs w:val="20"/>
              </w:rPr>
            </w:pPr>
            <w:r w:rsidRPr="00951BFA">
              <w:rPr>
                <w:rFonts w:ascii="Arial" w:hAnsi="Arial" w:cs="Arial"/>
                <w:sz w:val="20"/>
                <w:szCs w:val="20"/>
              </w:rPr>
              <w:t xml:space="preserve">£0.00       </w:t>
            </w:r>
          </w:p>
        </w:tc>
        <w:tc>
          <w:tcPr>
            <w:tcW w:w="270" w:type="dxa"/>
            <w:vAlign w:val="center"/>
          </w:tcPr>
          <w:p w:rsidR="00400C31" w:rsidRPr="00951BFA" w:rsidRDefault="00400C31" w:rsidP="00B51DAE">
            <w:pPr>
              <w:rPr>
                <w:rFonts w:ascii="Arial" w:hAnsi="Arial" w:cs="Arial"/>
                <w:sz w:val="16"/>
                <w:szCs w:val="16"/>
              </w:rPr>
            </w:pPr>
          </w:p>
        </w:tc>
        <w:tc>
          <w:tcPr>
            <w:tcW w:w="4788" w:type="dxa"/>
            <w:gridSpan w:val="3"/>
            <w:vMerge/>
            <w:vAlign w:val="center"/>
          </w:tcPr>
          <w:p w:rsidR="00400C31" w:rsidRPr="00951BFA" w:rsidRDefault="00400C31" w:rsidP="00B51DAE">
            <w:pPr>
              <w:rPr>
                <w:rFonts w:ascii="Arial" w:hAnsi="Arial" w:cs="Arial"/>
                <w:sz w:val="16"/>
                <w:szCs w:val="16"/>
              </w:rPr>
            </w:pPr>
          </w:p>
        </w:tc>
      </w:tr>
      <w:tr w:rsidR="00400C31" w:rsidRPr="00951BFA" w:rsidTr="00D35C45">
        <w:trPr>
          <w:trHeight w:val="158"/>
        </w:trPr>
        <w:tc>
          <w:tcPr>
            <w:tcW w:w="2865" w:type="dxa"/>
            <w:vMerge/>
            <w:vAlign w:val="center"/>
          </w:tcPr>
          <w:p w:rsidR="00400C31" w:rsidRPr="00983655" w:rsidRDefault="00400C31" w:rsidP="00B51DAE">
            <w:pPr>
              <w:rPr>
                <w:rFonts w:ascii="Arial" w:hAnsi="Arial" w:cs="Arial"/>
                <w:b/>
                <w:sz w:val="20"/>
                <w:szCs w:val="20"/>
              </w:rPr>
            </w:pPr>
          </w:p>
        </w:tc>
        <w:tc>
          <w:tcPr>
            <w:tcW w:w="2193" w:type="dxa"/>
            <w:vMerge/>
            <w:vAlign w:val="center"/>
          </w:tcPr>
          <w:p w:rsidR="00400C31" w:rsidRPr="00983655" w:rsidRDefault="00400C31" w:rsidP="002C798D">
            <w:pPr>
              <w:jc w:val="right"/>
              <w:rPr>
                <w:rFonts w:ascii="Arial" w:hAnsi="Arial" w:cs="Arial"/>
                <w:b/>
                <w:sz w:val="20"/>
                <w:szCs w:val="20"/>
              </w:rPr>
            </w:pPr>
          </w:p>
        </w:tc>
        <w:tc>
          <w:tcPr>
            <w:tcW w:w="270" w:type="dxa"/>
            <w:vAlign w:val="center"/>
          </w:tcPr>
          <w:p w:rsidR="00400C31" w:rsidRPr="00951BFA" w:rsidRDefault="00400C31" w:rsidP="00B51DAE">
            <w:pPr>
              <w:rPr>
                <w:rFonts w:ascii="Arial" w:hAnsi="Arial" w:cs="Arial"/>
                <w:sz w:val="16"/>
                <w:szCs w:val="16"/>
              </w:rPr>
            </w:pPr>
          </w:p>
        </w:tc>
        <w:tc>
          <w:tcPr>
            <w:tcW w:w="4788" w:type="dxa"/>
            <w:gridSpan w:val="3"/>
            <w:vMerge/>
            <w:vAlign w:val="center"/>
          </w:tcPr>
          <w:p w:rsidR="00400C31" w:rsidRPr="00951BFA" w:rsidRDefault="00400C31" w:rsidP="00B51DAE">
            <w:pPr>
              <w:rPr>
                <w:rFonts w:ascii="Arial" w:hAnsi="Arial" w:cs="Arial"/>
                <w:sz w:val="16"/>
                <w:szCs w:val="16"/>
              </w:rPr>
            </w:pPr>
          </w:p>
        </w:tc>
      </w:tr>
    </w:tbl>
    <w:p w:rsidR="002C798D" w:rsidRDefault="002C798D" w:rsidP="00F26A45">
      <w:pPr>
        <w:spacing w:after="0" w:line="240" w:lineRule="auto"/>
        <w:rPr>
          <w:b/>
          <w:sz w:val="28"/>
          <w:szCs w:val="28"/>
        </w:rPr>
      </w:pPr>
    </w:p>
    <w:p w:rsidR="00BF4388" w:rsidRPr="00D5734B" w:rsidRDefault="00D5734B" w:rsidP="00F26A45">
      <w:pPr>
        <w:spacing w:after="0" w:line="240" w:lineRule="auto"/>
        <w:rPr>
          <w:rFonts w:cs="Arial"/>
          <w:b/>
          <w:sz w:val="28"/>
          <w:szCs w:val="28"/>
        </w:rPr>
      </w:pPr>
      <w:r w:rsidRPr="00D5734B">
        <w:rPr>
          <w:rFonts w:cs="Arial"/>
          <w:b/>
          <w:sz w:val="28"/>
          <w:szCs w:val="28"/>
        </w:rPr>
        <w:tab/>
      </w:r>
      <w:r w:rsidRPr="00D5734B">
        <w:rPr>
          <w:rFonts w:cs="Arial"/>
          <w:b/>
          <w:sz w:val="28"/>
          <w:szCs w:val="28"/>
        </w:rPr>
        <w:tab/>
      </w:r>
      <w:r w:rsidRPr="00D5734B">
        <w:rPr>
          <w:rFonts w:cs="Arial"/>
          <w:b/>
          <w:sz w:val="28"/>
          <w:szCs w:val="28"/>
        </w:rPr>
        <w:tab/>
      </w:r>
      <w:r w:rsidRPr="00D5734B">
        <w:rPr>
          <w:rFonts w:cs="Arial"/>
          <w:b/>
          <w:sz w:val="28"/>
          <w:szCs w:val="28"/>
        </w:rPr>
        <w:tab/>
      </w:r>
      <w:r w:rsidR="00BF4388" w:rsidRPr="00D5734B">
        <w:rPr>
          <w:rFonts w:cs="Arial"/>
          <w:b/>
          <w:sz w:val="28"/>
          <w:szCs w:val="28"/>
        </w:rPr>
        <w:tab/>
      </w:r>
      <w:r w:rsidR="00BF4388" w:rsidRPr="00D5734B">
        <w:rPr>
          <w:rFonts w:cs="Arial"/>
          <w:b/>
          <w:sz w:val="28"/>
          <w:szCs w:val="28"/>
        </w:rPr>
        <w:tab/>
      </w:r>
    </w:p>
    <w:p w:rsidR="00F26A45" w:rsidRDefault="00F26A45" w:rsidP="00BF4388">
      <w:pPr>
        <w:spacing w:after="0" w:line="240" w:lineRule="auto"/>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38"/>
        <w:gridCol w:w="2072"/>
        <w:gridCol w:w="267"/>
        <w:gridCol w:w="1236"/>
        <w:gridCol w:w="236"/>
        <w:gridCol w:w="2673"/>
        <w:gridCol w:w="1094"/>
      </w:tblGrid>
      <w:tr w:rsidR="00D35C45" w:rsidRPr="00D35C45" w:rsidTr="00AA64AD">
        <w:trPr>
          <w:trHeight w:val="216"/>
        </w:trPr>
        <w:tc>
          <w:tcPr>
            <w:tcW w:w="2538" w:type="dxa"/>
            <w:tcBorders>
              <w:top w:val="single" w:sz="12" w:space="0" w:color="auto"/>
            </w:tcBorders>
            <w:vAlign w:val="center"/>
          </w:tcPr>
          <w:p w:rsidR="00D35C45" w:rsidRPr="00D35C45" w:rsidRDefault="00D35C45" w:rsidP="00D35C45">
            <w:pPr>
              <w:spacing w:before="120"/>
              <w:rPr>
                <w:rFonts w:ascii="Arial" w:hAnsi="Arial" w:cs="Arial"/>
                <w:b/>
                <w:sz w:val="20"/>
                <w:szCs w:val="20"/>
              </w:rPr>
            </w:pPr>
            <w:r w:rsidRPr="00D35C45">
              <w:rPr>
                <w:rFonts w:ascii="Arial" w:hAnsi="Arial" w:cs="Arial"/>
                <w:b/>
                <w:sz w:val="20"/>
                <w:szCs w:val="20"/>
              </w:rPr>
              <w:t>Your Interest Rates</w:t>
            </w:r>
          </w:p>
        </w:tc>
        <w:tc>
          <w:tcPr>
            <w:tcW w:w="2072" w:type="dxa"/>
            <w:tcBorders>
              <w:top w:val="single" w:sz="12" w:space="0" w:color="auto"/>
            </w:tcBorders>
            <w:vAlign w:val="center"/>
          </w:tcPr>
          <w:p w:rsidR="00D35C45" w:rsidRPr="00D35C45" w:rsidRDefault="00D35C45" w:rsidP="00D35C45">
            <w:pPr>
              <w:spacing w:before="120"/>
              <w:rPr>
                <w:rFonts w:ascii="Arial" w:hAnsi="Arial" w:cs="Arial"/>
                <w:b/>
                <w:sz w:val="20"/>
                <w:szCs w:val="20"/>
              </w:rPr>
            </w:pPr>
          </w:p>
        </w:tc>
        <w:tc>
          <w:tcPr>
            <w:tcW w:w="267" w:type="dxa"/>
            <w:tcBorders>
              <w:top w:val="single" w:sz="12" w:space="0" w:color="auto"/>
            </w:tcBorders>
            <w:vAlign w:val="center"/>
          </w:tcPr>
          <w:p w:rsidR="00D35C45" w:rsidRPr="00D35C45" w:rsidRDefault="00D35C45" w:rsidP="00D35C45">
            <w:pPr>
              <w:spacing w:before="120"/>
              <w:rPr>
                <w:rFonts w:ascii="Arial" w:hAnsi="Arial" w:cs="Arial"/>
                <w:b/>
                <w:sz w:val="20"/>
                <w:szCs w:val="20"/>
              </w:rPr>
            </w:pPr>
          </w:p>
        </w:tc>
        <w:tc>
          <w:tcPr>
            <w:tcW w:w="1236" w:type="dxa"/>
            <w:tcBorders>
              <w:top w:val="single" w:sz="12" w:space="0" w:color="auto"/>
            </w:tcBorders>
            <w:vAlign w:val="center"/>
          </w:tcPr>
          <w:p w:rsidR="00D35C45" w:rsidRPr="00D35C45" w:rsidRDefault="00D35C45" w:rsidP="00D35C45">
            <w:pPr>
              <w:spacing w:before="120"/>
              <w:rPr>
                <w:rFonts w:ascii="Arial" w:hAnsi="Arial" w:cs="Arial"/>
                <w:b/>
                <w:sz w:val="20"/>
                <w:szCs w:val="20"/>
              </w:rPr>
            </w:pPr>
          </w:p>
        </w:tc>
        <w:tc>
          <w:tcPr>
            <w:tcW w:w="236" w:type="dxa"/>
            <w:vAlign w:val="center"/>
          </w:tcPr>
          <w:p w:rsidR="00D35C45" w:rsidRPr="00D35C45" w:rsidRDefault="00D35C45" w:rsidP="00D35C45">
            <w:pPr>
              <w:spacing w:before="120"/>
              <w:rPr>
                <w:rFonts w:ascii="Arial" w:hAnsi="Arial" w:cs="Arial"/>
                <w:b/>
                <w:sz w:val="20"/>
                <w:szCs w:val="20"/>
              </w:rPr>
            </w:pPr>
          </w:p>
        </w:tc>
        <w:tc>
          <w:tcPr>
            <w:tcW w:w="2673" w:type="dxa"/>
            <w:tcBorders>
              <w:top w:val="single" w:sz="12" w:space="0" w:color="auto"/>
            </w:tcBorders>
            <w:vAlign w:val="center"/>
          </w:tcPr>
          <w:p w:rsidR="00D35C45" w:rsidRPr="00D35C45" w:rsidRDefault="00D35C45" w:rsidP="00D35C45">
            <w:pPr>
              <w:spacing w:before="120"/>
              <w:rPr>
                <w:rFonts w:ascii="Arial" w:hAnsi="Arial" w:cs="Arial"/>
                <w:b/>
                <w:sz w:val="20"/>
                <w:szCs w:val="20"/>
              </w:rPr>
            </w:pPr>
            <w:r w:rsidRPr="00D35C45">
              <w:rPr>
                <w:rFonts w:ascii="Arial" w:hAnsi="Arial" w:cs="Arial"/>
                <w:b/>
                <w:sz w:val="20"/>
                <w:szCs w:val="20"/>
              </w:rPr>
              <w:t>Fees Explained</w:t>
            </w:r>
          </w:p>
        </w:tc>
        <w:tc>
          <w:tcPr>
            <w:tcW w:w="1094" w:type="dxa"/>
            <w:tcBorders>
              <w:top w:val="single" w:sz="12" w:space="0" w:color="auto"/>
            </w:tcBorders>
            <w:vAlign w:val="center"/>
          </w:tcPr>
          <w:p w:rsidR="00D35C45" w:rsidRPr="00D35C45" w:rsidRDefault="00D35C45" w:rsidP="00D35C45">
            <w:pPr>
              <w:spacing w:before="240"/>
              <w:jc w:val="right"/>
              <w:rPr>
                <w:rFonts w:ascii="Arial" w:hAnsi="Arial" w:cs="Arial"/>
                <w:b/>
                <w:sz w:val="20"/>
                <w:szCs w:val="20"/>
              </w:rPr>
            </w:pPr>
          </w:p>
        </w:tc>
      </w:tr>
      <w:tr w:rsidR="00AA64AD" w:rsidRPr="00D35C45" w:rsidTr="00AA64AD">
        <w:trPr>
          <w:trHeight w:val="222"/>
        </w:trPr>
        <w:tc>
          <w:tcPr>
            <w:tcW w:w="10116" w:type="dxa"/>
            <w:gridSpan w:val="7"/>
            <w:vAlign w:val="center"/>
          </w:tcPr>
          <w:p w:rsidR="00AA64AD" w:rsidRPr="00D35C45" w:rsidRDefault="00AA64AD" w:rsidP="00274B1A">
            <w:pPr>
              <w:jc w:val="right"/>
              <w:rPr>
                <w:rFonts w:ascii="Arial" w:hAnsi="Arial" w:cs="Arial"/>
                <w:sz w:val="20"/>
                <w:szCs w:val="20"/>
              </w:rPr>
            </w:pPr>
          </w:p>
        </w:tc>
      </w:tr>
      <w:tr w:rsidR="00B514C0" w:rsidRPr="00D35C45" w:rsidTr="00AA64AD">
        <w:trPr>
          <w:trHeight w:val="216"/>
        </w:trPr>
        <w:tc>
          <w:tcPr>
            <w:tcW w:w="2538" w:type="dxa"/>
            <w:tcBorders>
              <w:bottom w:val="single" w:sz="12" w:space="0" w:color="auto"/>
            </w:tcBorders>
            <w:vAlign w:val="center"/>
          </w:tcPr>
          <w:p w:rsidR="00B514C0" w:rsidRPr="00D35C45" w:rsidRDefault="00B514C0" w:rsidP="00330D08">
            <w:pPr>
              <w:rPr>
                <w:rFonts w:ascii="Arial" w:hAnsi="Arial" w:cs="Arial"/>
                <w:b/>
                <w:sz w:val="16"/>
                <w:szCs w:val="16"/>
              </w:rPr>
            </w:pPr>
            <w:r>
              <w:rPr>
                <w:rFonts w:ascii="Arial" w:hAnsi="Arial" w:cs="Arial"/>
                <w:b/>
                <w:sz w:val="16"/>
                <w:szCs w:val="16"/>
              </w:rPr>
              <w:t>Amount of Planned O</w:t>
            </w:r>
            <w:r w:rsidRPr="00D35C45">
              <w:rPr>
                <w:rFonts w:ascii="Arial" w:hAnsi="Arial" w:cs="Arial"/>
                <w:b/>
                <w:sz w:val="16"/>
                <w:szCs w:val="16"/>
              </w:rPr>
              <w:t>verdraft</w:t>
            </w:r>
          </w:p>
        </w:tc>
        <w:tc>
          <w:tcPr>
            <w:tcW w:w="3811" w:type="dxa"/>
            <w:gridSpan w:val="4"/>
            <w:tcBorders>
              <w:bottom w:val="single" w:sz="12" w:space="0" w:color="auto"/>
            </w:tcBorders>
            <w:vAlign w:val="center"/>
          </w:tcPr>
          <w:p w:rsidR="00B514C0" w:rsidRPr="00D35C45" w:rsidRDefault="00B514C0" w:rsidP="00D35C45">
            <w:pPr>
              <w:jc w:val="right"/>
              <w:rPr>
                <w:rFonts w:ascii="Arial" w:hAnsi="Arial" w:cs="Arial"/>
                <w:b/>
                <w:sz w:val="16"/>
                <w:szCs w:val="16"/>
              </w:rPr>
            </w:pPr>
            <w:r w:rsidRPr="00D35C45">
              <w:rPr>
                <w:rFonts w:ascii="Arial" w:hAnsi="Arial" w:cs="Arial"/>
                <w:b/>
                <w:sz w:val="16"/>
                <w:szCs w:val="16"/>
              </w:rPr>
              <w:t>Planned overdraft</w:t>
            </w:r>
          </w:p>
        </w:tc>
        <w:tc>
          <w:tcPr>
            <w:tcW w:w="3767" w:type="dxa"/>
            <w:gridSpan w:val="2"/>
            <w:vMerge w:val="restart"/>
          </w:tcPr>
          <w:p w:rsidR="001125F9" w:rsidRPr="001125F9" w:rsidRDefault="001125F9" w:rsidP="001125F9">
            <w:pPr>
              <w:rPr>
                <w:rFonts w:ascii="Arial" w:hAnsi="Arial" w:cs="Arial"/>
                <w:sz w:val="14"/>
                <w:szCs w:val="14"/>
              </w:rPr>
            </w:pPr>
            <w:r w:rsidRPr="001125F9">
              <w:rPr>
                <w:rFonts w:ascii="Arial" w:hAnsi="Arial" w:cs="Arial"/>
                <w:b/>
                <w:sz w:val="14"/>
                <w:szCs w:val="14"/>
              </w:rPr>
              <w:t>Other Services</w:t>
            </w:r>
            <w:r w:rsidRPr="001125F9">
              <w:rPr>
                <w:rFonts w:ascii="Arial" w:hAnsi="Arial" w:cs="Arial"/>
                <w:sz w:val="14"/>
                <w:szCs w:val="14"/>
              </w:rPr>
              <w:t xml:space="preserve">- There </w:t>
            </w:r>
            <w:proofErr w:type="gramStart"/>
            <w:r w:rsidRPr="001125F9">
              <w:rPr>
                <w:rFonts w:ascii="Arial" w:hAnsi="Arial" w:cs="Arial"/>
                <w:sz w:val="14"/>
                <w:szCs w:val="14"/>
              </w:rPr>
              <w:t>are</w:t>
            </w:r>
            <w:proofErr w:type="gramEnd"/>
            <w:r w:rsidRPr="001125F9">
              <w:rPr>
                <w:rFonts w:ascii="Arial" w:hAnsi="Arial" w:cs="Arial"/>
                <w:sz w:val="14"/>
                <w:szCs w:val="14"/>
              </w:rPr>
              <w:t xml:space="preserve"> fees for other services you have asked for. You can find more details in your account conditions or at </w:t>
            </w:r>
            <w:hyperlink r:id="rId6" w:history="1">
              <w:r w:rsidRPr="001125F9">
                <w:rPr>
                  <w:rStyle w:val="Hyperlink"/>
                  <w:rFonts w:ascii="Arial" w:hAnsi="Arial" w:cs="Arial"/>
                  <w:sz w:val="14"/>
                  <w:szCs w:val="14"/>
                </w:rPr>
                <w:t>www.lloydsbank.com</w:t>
              </w:r>
            </w:hyperlink>
            <w:r w:rsidRPr="001125F9">
              <w:rPr>
                <w:rFonts w:ascii="Arial" w:hAnsi="Arial" w:cs="Arial"/>
                <w:sz w:val="14"/>
                <w:szCs w:val="14"/>
              </w:rPr>
              <w:t xml:space="preserve">. If you have a club Lloyds Account, the account fee will not feature in the Type of Fee table above, but the fee will be shown in transactions overleaf as ‘Club Lloyds fee’. If you are eligible to have this fees waived, you will see a transaction describe as </w:t>
            </w:r>
            <w:proofErr w:type="gramStart"/>
            <w:r w:rsidRPr="001125F9">
              <w:rPr>
                <w:rFonts w:ascii="Arial" w:hAnsi="Arial" w:cs="Arial"/>
                <w:sz w:val="14"/>
                <w:szCs w:val="14"/>
              </w:rPr>
              <w:t>‘ Club</w:t>
            </w:r>
            <w:proofErr w:type="gramEnd"/>
            <w:r w:rsidRPr="001125F9">
              <w:rPr>
                <w:rFonts w:ascii="Arial" w:hAnsi="Arial" w:cs="Arial"/>
                <w:sz w:val="14"/>
                <w:szCs w:val="14"/>
              </w:rPr>
              <w:t xml:space="preserve"> Lloyds Waived’.</w:t>
            </w:r>
          </w:p>
          <w:p w:rsidR="001125F9" w:rsidRPr="001125F9" w:rsidRDefault="001125F9" w:rsidP="001125F9">
            <w:pPr>
              <w:spacing w:before="80"/>
              <w:rPr>
                <w:rFonts w:ascii="Arial" w:hAnsi="Arial" w:cs="Arial"/>
                <w:sz w:val="14"/>
                <w:szCs w:val="14"/>
              </w:rPr>
            </w:pPr>
            <w:r w:rsidRPr="001125F9">
              <w:rPr>
                <w:rFonts w:ascii="Arial" w:hAnsi="Arial" w:cs="Arial"/>
                <w:b/>
                <w:sz w:val="14"/>
                <w:szCs w:val="14"/>
              </w:rPr>
              <w:t>Monthly Overdraft usage fee</w:t>
            </w:r>
            <w:r w:rsidRPr="001125F9">
              <w:rPr>
                <w:rFonts w:ascii="Arial" w:hAnsi="Arial" w:cs="Arial"/>
                <w:sz w:val="14"/>
                <w:szCs w:val="14"/>
              </w:rPr>
              <w:t xml:space="preserve"> – </w:t>
            </w:r>
            <w:proofErr w:type="gramStart"/>
            <w:r w:rsidRPr="001125F9">
              <w:rPr>
                <w:rFonts w:ascii="Arial" w:hAnsi="Arial" w:cs="Arial"/>
                <w:sz w:val="14"/>
                <w:szCs w:val="14"/>
              </w:rPr>
              <w:t xml:space="preserve">This  </w:t>
            </w:r>
            <w:r w:rsidRPr="001125F9">
              <w:rPr>
                <w:rFonts w:ascii="Arial" w:hAnsi="Arial" w:cs="Arial"/>
                <w:sz w:val="14"/>
                <w:szCs w:val="14"/>
              </w:rPr>
              <w:t>£</w:t>
            </w:r>
            <w:proofErr w:type="gramEnd"/>
            <w:r w:rsidRPr="001125F9">
              <w:rPr>
                <w:rFonts w:ascii="Arial" w:hAnsi="Arial" w:cs="Arial"/>
                <w:sz w:val="14"/>
                <w:szCs w:val="14"/>
              </w:rPr>
              <w:t xml:space="preserve">6.00 fee is charged in any monthly </w:t>
            </w:r>
            <w:proofErr w:type="spellStart"/>
            <w:r w:rsidRPr="001125F9">
              <w:rPr>
                <w:rFonts w:ascii="Arial" w:hAnsi="Arial" w:cs="Arial"/>
                <w:sz w:val="14"/>
                <w:szCs w:val="14"/>
              </w:rPr>
              <w:t>biling</w:t>
            </w:r>
            <w:proofErr w:type="spellEnd"/>
            <w:r w:rsidRPr="001125F9">
              <w:rPr>
                <w:rFonts w:ascii="Arial" w:hAnsi="Arial" w:cs="Arial"/>
                <w:sz w:val="14"/>
                <w:szCs w:val="14"/>
              </w:rPr>
              <w:t xml:space="preserve"> period where you exceed any interest  and fee free amount of a Planned overdraft or buffer that you have on your account. You will only ever be charged one Monthly Overdraft Usage Fee in a monthly </w:t>
            </w:r>
            <w:proofErr w:type="spellStart"/>
            <w:r w:rsidRPr="001125F9">
              <w:rPr>
                <w:rFonts w:ascii="Arial" w:hAnsi="Arial" w:cs="Arial"/>
                <w:sz w:val="14"/>
                <w:szCs w:val="14"/>
              </w:rPr>
              <w:t>biling</w:t>
            </w:r>
            <w:proofErr w:type="spellEnd"/>
            <w:r w:rsidRPr="001125F9">
              <w:rPr>
                <w:rFonts w:ascii="Arial" w:hAnsi="Arial" w:cs="Arial"/>
                <w:sz w:val="14"/>
                <w:szCs w:val="14"/>
              </w:rPr>
              <w:t xml:space="preserve"> period, no matter how many times you use your Planned and Unplanned Overdraft.</w:t>
            </w:r>
          </w:p>
          <w:p w:rsidR="001125F9" w:rsidRPr="001125F9" w:rsidRDefault="001125F9" w:rsidP="001125F9">
            <w:pPr>
              <w:spacing w:before="80"/>
              <w:rPr>
                <w:rFonts w:ascii="Arial" w:hAnsi="Arial" w:cs="Arial"/>
                <w:sz w:val="14"/>
                <w:szCs w:val="14"/>
              </w:rPr>
            </w:pPr>
            <w:r w:rsidRPr="001125F9">
              <w:rPr>
                <w:rFonts w:ascii="Arial" w:hAnsi="Arial" w:cs="Arial"/>
                <w:b/>
                <w:sz w:val="14"/>
                <w:szCs w:val="14"/>
              </w:rPr>
              <w:t>Unplanned Overdraft daily fee</w:t>
            </w:r>
            <w:r w:rsidRPr="001125F9">
              <w:rPr>
                <w:rFonts w:ascii="Arial" w:hAnsi="Arial" w:cs="Arial"/>
                <w:sz w:val="14"/>
                <w:szCs w:val="14"/>
              </w:rPr>
              <w:t xml:space="preserve"> – The daily fee we charge you for using an Unplanned Overdraft (limited to a maximum of 8 daily fees in a monthly </w:t>
            </w:r>
            <w:proofErr w:type="spellStart"/>
            <w:r w:rsidRPr="001125F9">
              <w:rPr>
                <w:rFonts w:ascii="Arial" w:hAnsi="Arial" w:cs="Arial"/>
                <w:sz w:val="14"/>
                <w:szCs w:val="14"/>
              </w:rPr>
              <w:t>biling</w:t>
            </w:r>
            <w:proofErr w:type="spellEnd"/>
            <w:r w:rsidRPr="001125F9">
              <w:rPr>
                <w:rFonts w:ascii="Arial" w:hAnsi="Arial" w:cs="Arial"/>
                <w:sz w:val="14"/>
                <w:szCs w:val="14"/>
              </w:rPr>
              <w:t xml:space="preserve"> period). The amount of the fee will be worked out at the end of each day (including weekends and bank holidays) on the balance of your Unplanned Overdraft over any interest and fee free buffer. The fee is; </w:t>
            </w:r>
            <w:r w:rsidRPr="001125F9">
              <w:rPr>
                <w:rFonts w:ascii="Arial" w:hAnsi="Arial" w:cs="Arial"/>
                <w:sz w:val="14"/>
                <w:szCs w:val="14"/>
              </w:rPr>
              <w:t>£</w:t>
            </w:r>
            <w:r w:rsidRPr="001125F9">
              <w:rPr>
                <w:rFonts w:ascii="Arial" w:hAnsi="Arial" w:cs="Arial"/>
                <w:sz w:val="14"/>
                <w:szCs w:val="14"/>
              </w:rPr>
              <w:t xml:space="preserve">5.00 a day if your Unplanned Overdraft balance is </w:t>
            </w:r>
            <w:r w:rsidRPr="001125F9">
              <w:rPr>
                <w:rFonts w:ascii="Arial" w:hAnsi="Arial" w:cs="Arial"/>
                <w:sz w:val="14"/>
                <w:szCs w:val="14"/>
              </w:rPr>
              <w:t>£</w:t>
            </w:r>
            <w:r w:rsidRPr="001125F9">
              <w:rPr>
                <w:rFonts w:ascii="Arial" w:hAnsi="Arial" w:cs="Arial"/>
                <w:sz w:val="14"/>
                <w:szCs w:val="14"/>
              </w:rPr>
              <w:t xml:space="preserve">24.99 or less; </w:t>
            </w:r>
            <w:r w:rsidRPr="001125F9">
              <w:rPr>
                <w:rFonts w:ascii="Arial" w:hAnsi="Arial" w:cs="Arial"/>
                <w:sz w:val="14"/>
                <w:szCs w:val="14"/>
              </w:rPr>
              <w:t>£</w:t>
            </w:r>
            <w:r w:rsidRPr="001125F9">
              <w:rPr>
                <w:rFonts w:ascii="Arial" w:hAnsi="Arial" w:cs="Arial"/>
                <w:sz w:val="14"/>
                <w:szCs w:val="14"/>
              </w:rPr>
              <w:t xml:space="preserve">10.00 a day if your Unplanned Overdraft balance is </w:t>
            </w:r>
            <w:r w:rsidRPr="001125F9">
              <w:rPr>
                <w:rFonts w:ascii="Arial" w:hAnsi="Arial" w:cs="Arial"/>
                <w:sz w:val="14"/>
                <w:szCs w:val="14"/>
              </w:rPr>
              <w:t>£</w:t>
            </w:r>
            <w:r w:rsidRPr="001125F9">
              <w:rPr>
                <w:rFonts w:ascii="Arial" w:hAnsi="Arial" w:cs="Arial"/>
                <w:sz w:val="14"/>
                <w:szCs w:val="14"/>
              </w:rPr>
              <w:t>25.00 or more.</w:t>
            </w:r>
          </w:p>
          <w:p w:rsidR="001125F9" w:rsidRPr="001125F9" w:rsidRDefault="001125F9" w:rsidP="001125F9">
            <w:pPr>
              <w:spacing w:before="80"/>
              <w:rPr>
                <w:rFonts w:ascii="Arial" w:hAnsi="Arial" w:cs="Arial"/>
                <w:sz w:val="14"/>
                <w:szCs w:val="14"/>
              </w:rPr>
            </w:pPr>
            <w:r w:rsidRPr="001125F9">
              <w:rPr>
                <w:rFonts w:ascii="Arial" w:hAnsi="Arial" w:cs="Arial"/>
                <w:b/>
                <w:sz w:val="14"/>
                <w:szCs w:val="14"/>
              </w:rPr>
              <w:t>Returned Item fee</w:t>
            </w:r>
            <w:r w:rsidRPr="001125F9">
              <w:rPr>
                <w:rFonts w:ascii="Arial" w:hAnsi="Arial" w:cs="Arial"/>
                <w:sz w:val="14"/>
                <w:szCs w:val="14"/>
              </w:rPr>
              <w:t xml:space="preserve"> – The fee we charge when you do not have enough available money to make a payment you requested and we did not agree to give you </w:t>
            </w:r>
            <w:proofErr w:type="gramStart"/>
            <w:r w:rsidRPr="001125F9">
              <w:rPr>
                <w:rFonts w:ascii="Arial" w:hAnsi="Arial" w:cs="Arial"/>
                <w:sz w:val="14"/>
                <w:szCs w:val="14"/>
              </w:rPr>
              <w:t>extend  an</w:t>
            </w:r>
            <w:proofErr w:type="gramEnd"/>
            <w:r w:rsidRPr="001125F9">
              <w:rPr>
                <w:rFonts w:ascii="Arial" w:hAnsi="Arial" w:cs="Arial"/>
                <w:sz w:val="14"/>
                <w:szCs w:val="14"/>
              </w:rPr>
              <w:t xml:space="preserve"> Unplanned Overdraft to cover that payment, The fee is </w:t>
            </w:r>
            <w:r w:rsidRPr="001125F9">
              <w:rPr>
                <w:rFonts w:ascii="Arial" w:hAnsi="Arial" w:cs="Arial"/>
                <w:sz w:val="14"/>
                <w:szCs w:val="14"/>
              </w:rPr>
              <w:t>£</w:t>
            </w:r>
            <w:r w:rsidRPr="001125F9">
              <w:rPr>
                <w:rFonts w:ascii="Arial" w:hAnsi="Arial" w:cs="Arial"/>
                <w:sz w:val="14"/>
                <w:szCs w:val="14"/>
              </w:rPr>
              <w:t xml:space="preserve">10.00 for each item (no more than 3 </w:t>
            </w:r>
            <w:proofErr w:type="spellStart"/>
            <w:r w:rsidRPr="001125F9">
              <w:rPr>
                <w:rFonts w:ascii="Arial" w:hAnsi="Arial" w:cs="Arial"/>
                <w:sz w:val="14"/>
                <w:szCs w:val="14"/>
              </w:rPr>
              <w:t>fees</w:t>
            </w:r>
            <w:proofErr w:type="spellEnd"/>
            <w:r w:rsidRPr="001125F9">
              <w:rPr>
                <w:rFonts w:ascii="Arial" w:hAnsi="Arial" w:cs="Arial"/>
                <w:sz w:val="14"/>
                <w:szCs w:val="14"/>
              </w:rPr>
              <w:t xml:space="preserve"> a day). This fee will not be charged if the amount of the payment that we decline is </w:t>
            </w:r>
            <w:r w:rsidRPr="001125F9">
              <w:rPr>
                <w:rFonts w:ascii="Arial" w:hAnsi="Arial" w:cs="Arial"/>
                <w:sz w:val="14"/>
                <w:szCs w:val="14"/>
              </w:rPr>
              <w:t>£</w:t>
            </w:r>
            <w:r w:rsidRPr="001125F9">
              <w:rPr>
                <w:rFonts w:ascii="Arial" w:hAnsi="Arial" w:cs="Arial"/>
                <w:sz w:val="14"/>
                <w:szCs w:val="14"/>
              </w:rPr>
              <w:t>10.00 or less.</w:t>
            </w:r>
          </w:p>
          <w:p w:rsidR="001125F9" w:rsidRPr="001125F9" w:rsidRDefault="001125F9" w:rsidP="001125F9">
            <w:pPr>
              <w:spacing w:before="80"/>
              <w:rPr>
                <w:sz w:val="20"/>
                <w:szCs w:val="20"/>
              </w:rPr>
            </w:pPr>
            <w:r w:rsidRPr="001125F9">
              <w:rPr>
                <w:rFonts w:ascii="Arial" w:hAnsi="Arial" w:cs="Arial"/>
                <w:b/>
                <w:sz w:val="14"/>
                <w:szCs w:val="14"/>
              </w:rPr>
              <w:t>Monthly account fee</w:t>
            </w:r>
            <w:r w:rsidRPr="001125F9">
              <w:rPr>
                <w:rFonts w:ascii="Arial" w:hAnsi="Arial" w:cs="Arial"/>
                <w:sz w:val="14"/>
                <w:szCs w:val="14"/>
              </w:rPr>
              <w:t xml:space="preserve"> – The monthly fee for SILVER ACCOUNT is </w:t>
            </w:r>
            <w:r w:rsidRPr="001125F9">
              <w:rPr>
                <w:rFonts w:ascii="Arial" w:hAnsi="Arial" w:cs="Arial"/>
                <w:sz w:val="14"/>
                <w:szCs w:val="14"/>
              </w:rPr>
              <w:t>£</w:t>
            </w:r>
            <w:r w:rsidRPr="001125F9">
              <w:rPr>
                <w:rFonts w:ascii="Arial" w:hAnsi="Arial" w:cs="Arial"/>
                <w:sz w:val="14"/>
                <w:szCs w:val="14"/>
              </w:rPr>
              <w:t>9.95.</w:t>
            </w:r>
          </w:p>
        </w:tc>
      </w:tr>
      <w:tr w:rsidR="00B514C0" w:rsidRPr="00D35C45" w:rsidTr="00AA64AD">
        <w:trPr>
          <w:trHeight w:val="216"/>
        </w:trPr>
        <w:tc>
          <w:tcPr>
            <w:tcW w:w="2538" w:type="dxa"/>
            <w:tcBorders>
              <w:top w:val="single" w:sz="12" w:space="0" w:color="auto"/>
              <w:bottom w:val="single" w:sz="12" w:space="0" w:color="auto"/>
            </w:tcBorders>
            <w:vAlign w:val="center"/>
          </w:tcPr>
          <w:p w:rsidR="00B514C0" w:rsidRPr="00B514C0" w:rsidRDefault="00B514C0" w:rsidP="00330D08">
            <w:pPr>
              <w:rPr>
                <w:rFonts w:ascii="Arial" w:hAnsi="Arial" w:cs="Arial"/>
                <w:sz w:val="16"/>
                <w:szCs w:val="16"/>
              </w:rPr>
            </w:pPr>
            <w:r w:rsidRPr="00B514C0">
              <w:rPr>
                <w:rFonts w:ascii="Arial" w:hAnsi="Arial" w:cs="Arial"/>
                <w:sz w:val="16"/>
                <w:szCs w:val="16"/>
              </w:rPr>
              <w:t>£</w:t>
            </w:r>
            <w:r w:rsidRPr="00B514C0">
              <w:rPr>
                <w:rFonts w:ascii="Arial" w:hAnsi="Arial" w:cs="Arial"/>
                <w:sz w:val="16"/>
                <w:szCs w:val="16"/>
              </w:rPr>
              <w:t>0.00+</w:t>
            </w:r>
          </w:p>
        </w:tc>
        <w:tc>
          <w:tcPr>
            <w:tcW w:w="3811" w:type="dxa"/>
            <w:gridSpan w:val="4"/>
            <w:tcBorders>
              <w:top w:val="single" w:sz="12" w:space="0" w:color="auto"/>
              <w:bottom w:val="single" w:sz="12" w:space="0" w:color="auto"/>
            </w:tcBorders>
            <w:vAlign w:val="center"/>
          </w:tcPr>
          <w:p w:rsidR="00B514C0" w:rsidRPr="00B514C0" w:rsidRDefault="00B514C0" w:rsidP="00B514C0">
            <w:pPr>
              <w:jc w:val="right"/>
              <w:rPr>
                <w:rFonts w:ascii="Arial" w:hAnsi="Arial" w:cs="Arial"/>
                <w:sz w:val="16"/>
                <w:szCs w:val="16"/>
              </w:rPr>
            </w:pPr>
            <w:r w:rsidRPr="00B514C0">
              <w:rPr>
                <w:rFonts w:ascii="Arial" w:hAnsi="Arial" w:cs="Arial"/>
                <w:sz w:val="16"/>
                <w:szCs w:val="16"/>
              </w:rPr>
              <w:t>0.00% per month (0.00% EAR*variable)</w:t>
            </w:r>
          </w:p>
        </w:tc>
        <w:tc>
          <w:tcPr>
            <w:tcW w:w="3767" w:type="dxa"/>
            <w:gridSpan w:val="2"/>
            <w:vMerge/>
            <w:vAlign w:val="center"/>
          </w:tcPr>
          <w:p w:rsidR="00B514C0" w:rsidRPr="00D35C45" w:rsidRDefault="00B514C0" w:rsidP="00274B1A">
            <w:pPr>
              <w:jc w:val="right"/>
              <w:rPr>
                <w:rFonts w:ascii="Arial" w:hAnsi="Arial" w:cs="Arial"/>
                <w:sz w:val="20"/>
                <w:szCs w:val="20"/>
              </w:rPr>
            </w:pPr>
          </w:p>
        </w:tc>
      </w:tr>
      <w:tr w:rsidR="00B514C0" w:rsidRPr="00D35C45" w:rsidTr="00AA64AD">
        <w:trPr>
          <w:trHeight w:val="216"/>
        </w:trPr>
        <w:tc>
          <w:tcPr>
            <w:tcW w:w="2538" w:type="dxa"/>
            <w:tcBorders>
              <w:top w:val="single" w:sz="12" w:space="0" w:color="auto"/>
              <w:bottom w:val="single" w:sz="12" w:space="0" w:color="auto"/>
            </w:tcBorders>
            <w:vAlign w:val="center"/>
          </w:tcPr>
          <w:p w:rsidR="00B514C0" w:rsidRPr="00B514C0" w:rsidRDefault="00B514C0" w:rsidP="00330D08">
            <w:pPr>
              <w:rPr>
                <w:rFonts w:ascii="Arial" w:hAnsi="Arial" w:cs="Arial"/>
                <w:b/>
                <w:color w:val="55893D"/>
                <w:sz w:val="16"/>
                <w:szCs w:val="16"/>
              </w:rPr>
            </w:pPr>
            <w:r w:rsidRPr="00B514C0">
              <w:rPr>
                <w:rFonts w:ascii="Arial" w:hAnsi="Arial" w:cs="Arial"/>
                <w:sz w:val="16"/>
                <w:szCs w:val="16"/>
              </w:rPr>
              <w:t>£</w:t>
            </w:r>
            <w:r w:rsidRPr="00B514C0">
              <w:rPr>
                <w:rFonts w:ascii="Arial" w:hAnsi="Arial" w:cs="Arial"/>
                <w:sz w:val="16"/>
                <w:szCs w:val="16"/>
              </w:rPr>
              <w:t>51.00+</w:t>
            </w:r>
          </w:p>
        </w:tc>
        <w:tc>
          <w:tcPr>
            <w:tcW w:w="3811" w:type="dxa"/>
            <w:gridSpan w:val="4"/>
            <w:tcBorders>
              <w:top w:val="single" w:sz="12" w:space="0" w:color="auto"/>
              <w:bottom w:val="single" w:sz="12" w:space="0" w:color="auto"/>
            </w:tcBorders>
            <w:vAlign w:val="center"/>
          </w:tcPr>
          <w:p w:rsidR="00B514C0" w:rsidRPr="00B514C0" w:rsidRDefault="00B514C0" w:rsidP="00B514C0">
            <w:pPr>
              <w:jc w:val="right"/>
              <w:rPr>
                <w:rFonts w:ascii="Arial" w:hAnsi="Arial" w:cs="Arial"/>
                <w:sz w:val="16"/>
                <w:szCs w:val="16"/>
              </w:rPr>
            </w:pPr>
            <w:r w:rsidRPr="00B514C0">
              <w:rPr>
                <w:rFonts w:ascii="Arial" w:hAnsi="Arial" w:cs="Arial"/>
                <w:sz w:val="16"/>
                <w:szCs w:val="16"/>
              </w:rPr>
              <w:t>1.53% per month (19.94% EAR* variable)</w:t>
            </w:r>
          </w:p>
        </w:tc>
        <w:tc>
          <w:tcPr>
            <w:tcW w:w="3767" w:type="dxa"/>
            <w:gridSpan w:val="2"/>
            <w:vMerge/>
            <w:vAlign w:val="center"/>
          </w:tcPr>
          <w:p w:rsidR="00B514C0" w:rsidRPr="00D35C45" w:rsidRDefault="00B514C0" w:rsidP="00274B1A">
            <w:pPr>
              <w:jc w:val="right"/>
              <w:rPr>
                <w:rFonts w:ascii="Arial" w:hAnsi="Arial" w:cs="Arial"/>
                <w:b/>
                <w:color w:val="55893D"/>
                <w:sz w:val="20"/>
                <w:szCs w:val="20"/>
              </w:rPr>
            </w:pPr>
          </w:p>
        </w:tc>
      </w:tr>
      <w:tr w:rsidR="00B514C0" w:rsidRPr="00D35C45" w:rsidTr="00AA64AD">
        <w:trPr>
          <w:trHeight w:val="1200"/>
        </w:trPr>
        <w:tc>
          <w:tcPr>
            <w:tcW w:w="6349" w:type="dxa"/>
            <w:gridSpan w:val="5"/>
          </w:tcPr>
          <w:p w:rsidR="001125F9" w:rsidRPr="001125F9" w:rsidRDefault="001125F9" w:rsidP="001125F9">
            <w:pPr>
              <w:spacing w:before="80"/>
              <w:ind w:right="14"/>
              <w:rPr>
                <w:rFonts w:ascii="Arial" w:hAnsi="Arial" w:cs="Arial"/>
                <w:sz w:val="14"/>
                <w:szCs w:val="14"/>
              </w:rPr>
            </w:pPr>
            <w:r w:rsidRPr="001125F9">
              <w:rPr>
                <w:rFonts w:ascii="Arial" w:hAnsi="Arial" w:cs="Arial"/>
                <w:sz w:val="14"/>
                <w:szCs w:val="14"/>
              </w:rPr>
              <w:t>*EAR is the Equivalent Annual Rate. This is the actual annual interest of an overdraft. It does not take into account other fees and charges.</w:t>
            </w:r>
          </w:p>
          <w:p w:rsidR="001125F9" w:rsidRPr="001125F9" w:rsidRDefault="001125F9" w:rsidP="001125F9">
            <w:pPr>
              <w:spacing w:before="80"/>
              <w:ind w:right="14"/>
              <w:rPr>
                <w:rFonts w:ascii="Arial" w:hAnsi="Arial" w:cs="Arial"/>
                <w:sz w:val="14"/>
                <w:szCs w:val="14"/>
              </w:rPr>
            </w:pPr>
            <w:r w:rsidRPr="001125F9">
              <w:rPr>
                <w:rFonts w:ascii="Arial" w:hAnsi="Arial" w:cs="Arial"/>
                <w:sz w:val="14"/>
                <w:szCs w:val="14"/>
              </w:rPr>
              <w:t>We will give you at least 14 days notice before we take any Overdraft fees or interest out of your account. Interest rates and fees are detailed as at the date of this statement.</w:t>
            </w:r>
          </w:p>
          <w:p w:rsidR="00B514C0" w:rsidRPr="00D35C45" w:rsidRDefault="00B514C0" w:rsidP="001125F9">
            <w:pPr>
              <w:ind w:right="522"/>
              <w:rPr>
                <w:rFonts w:ascii="Arial" w:hAnsi="Arial" w:cs="Arial"/>
                <w:sz w:val="20"/>
                <w:szCs w:val="20"/>
              </w:rPr>
            </w:pPr>
          </w:p>
        </w:tc>
        <w:tc>
          <w:tcPr>
            <w:tcW w:w="3767" w:type="dxa"/>
            <w:gridSpan w:val="2"/>
            <w:vMerge/>
            <w:vAlign w:val="center"/>
          </w:tcPr>
          <w:p w:rsidR="00B514C0" w:rsidRPr="00D35C45" w:rsidRDefault="00B514C0" w:rsidP="00274B1A">
            <w:pPr>
              <w:jc w:val="right"/>
              <w:rPr>
                <w:rFonts w:ascii="Arial" w:hAnsi="Arial" w:cs="Arial"/>
                <w:sz w:val="20"/>
                <w:szCs w:val="20"/>
              </w:rPr>
            </w:pPr>
          </w:p>
        </w:tc>
      </w:tr>
    </w:tbl>
    <w:p w:rsidR="00274B1A" w:rsidRDefault="00AA64AD" w:rsidP="00AA64AD">
      <w:pPr>
        <w:spacing w:after="0" w:line="240" w:lineRule="auto"/>
        <w:rPr>
          <w:rFonts w:ascii="Arial" w:hAnsi="Arial" w:cs="Arial"/>
          <w:b/>
          <w:color w:val="55893D"/>
          <w:sz w:val="20"/>
          <w:szCs w:val="20"/>
        </w:rPr>
      </w:pPr>
      <w:r>
        <w:rPr>
          <w:rFonts w:ascii="Arial" w:hAnsi="Arial" w:cs="Arial"/>
          <w:noProof/>
          <w:sz w:val="20"/>
          <w:szCs w:val="20"/>
        </w:rPr>
        <w:pict>
          <v:shapetype id="_x0000_t202" coordsize="21600,21600" o:spt="202" path="m,l,21600r21600,l21600,xe">
            <v:stroke joinstyle="miter"/>
            <v:path gradientshapeok="t" o:connecttype="rect"/>
          </v:shapetype>
          <v:shape id="_x0000_s1056" type="#_x0000_t202" style="position:absolute;margin-left:-6.9pt;margin-top:10.7pt;width:259pt;height:21pt;z-index:251665408;mso-position-horizontal-relative:text;mso-position-vertical-relative:text" stroked="f">
            <v:textbox>
              <w:txbxContent>
                <w:p w:rsidR="00AA64AD" w:rsidRDefault="00AA64AD" w:rsidP="00AA64AD">
                  <w:pPr>
                    <w:spacing w:after="0"/>
                    <w:rPr>
                      <w:rFonts w:ascii="Arial" w:hAnsi="Arial" w:cs="Arial"/>
                      <w:sz w:val="12"/>
                      <w:szCs w:val="12"/>
                    </w:rPr>
                  </w:pPr>
                  <w:r w:rsidRPr="00AA64AD">
                    <w:rPr>
                      <w:rFonts w:ascii="Arial" w:hAnsi="Arial" w:cs="Arial"/>
                      <w:sz w:val="12"/>
                      <w:szCs w:val="12"/>
                    </w:rPr>
                    <w:t xml:space="preserve">Lloyds Bank </w:t>
                  </w:r>
                  <w:proofErr w:type="spellStart"/>
                  <w:r w:rsidRPr="00AA64AD">
                    <w:rPr>
                      <w:rFonts w:ascii="Arial" w:hAnsi="Arial" w:cs="Arial"/>
                      <w:sz w:val="12"/>
                      <w:szCs w:val="12"/>
                    </w:rPr>
                    <w:t>pic</w:t>
                  </w:r>
                  <w:proofErr w:type="spellEnd"/>
                  <w:r w:rsidRPr="00AA64AD">
                    <w:rPr>
                      <w:rFonts w:ascii="Arial" w:hAnsi="Arial" w:cs="Arial"/>
                      <w:sz w:val="12"/>
                      <w:szCs w:val="12"/>
                    </w:rPr>
                    <w:t xml:space="preserve">, 25 Gresham </w:t>
                  </w:r>
                  <w:proofErr w:type="gramStart"/>
                  <w:r w:rsidRPr="00AA64AD">
                    <w:rPr>
                      <w:rFonts w:ascii="Arial" w:hAnsi="Arial" w:cs="Arial"/>
                      <w:sz w:val="12"/>
                      <w:szCs w:val="12"/>
                    </w:rPr>
                    <w:t>street</w:t>
                  </w:r>
                  <w:proofErr w:type="gramEnd"/>
                  <w:r w:rsidRPr="00AA64AD">
                    <w:rPr>
                      <w:rFonts w:ascii="Arial" w:hAnsi="Arial" w:cs="Arial"/>
                      <w:sz w:val="12"/>
                      <w:szCs w:val="12"/>
                    </w:rPr>
                    <w:t>, London, EC2V7HN.</w:t>
                  </w:r>
                </w:p>
                <w:p w:rsidR="00AA64AD" w:rsidRPr="00AA64AD" w:rsidRDefault="00AA64AD" w:rsidP="00AA64AD">
                  <w:pPr>
                    <w:spacing w:after="0"/>
                    <w:rPr>
                      <w:rFonts w:ascii="Arial" w:hAnsi="Arial" w:cs="Arial"/>
                      <w:sz w:val="12"/>
                      <w:szCs w:val="12"/>
                    </w:rPr>
                  </w:pPr>
                  <w:r w:rsidRPr="00AA64AD">
                    <w:rPr>
                      <w:rFonts w:ascii="Arial" w:hAnsi="Arial" w:cs="Arial"/>
                      <w:sz w:val="12"/>
                      <w:szCs w:val="12"/>
                    </w:rPr>
                    <w:t>Lloyds Bank International Limited, P.O. Box 160</w:t>
                  </w:r>
                  <w:proofErr w:type="gramStart"/>
                  <w:r w:rsidRPr="00AA64AD">
                    <w:rPr>
                      <w:rFonts w:ascii="Arial" w:hAnsi="Arial" w:cs="Arial"/>
                      <w:sz w:val="12"/>
                      <w:szCs w:val="12"/>
                    </w:rPr>
                    <w:t>,25</w:t>
                  </w:r>
                  <w:proofErr w:type="gramEnd"/>
                  <w:r w:rsidRPr="00AA64AD">
                    <w:rPr>
                      <w:rFonts w:ascii="Arial" w:hAnsi="Arial" w:cs="Arial"/>
                      <w:sz w:val="12"/>
                      <w:szCs w:val="12"/>
                    </w:rPr>
                    <w:t xml:space="preserve"> New Street, St. </w:t>
                  </w:r>
                  <w:proofErr w:type="spellStart"/>
                  <w:r w:rsidRPr="00AA64AD">
                    <w:rPr>
                      <w:rFonts w:ascii="Arial" w:hAnsi="Arial" w:cs="Arial"/>
                      <w:sz w:val="12"/>
                      <w:szCs w:val="12"/>
                    </w:rPr>
                    <w:t>Helier</w:t>
                  </w:r>
                  <w:proofErr w:type="spellEnd"/>
                  <w:r w:rsidRPr="00AA64AD">
                    <w:rPr>
                      <w:rFonts w:ascii="Arial" w:hAnsi="Arial" w:cs="Arial"/>
                      <w:sz w:val="12"/>
                      <w:szCs w:val="12"/>
                    </w:rPr>
                    <w:t>, Jersey, JE48RG</w:t>
                  </w:r>
                </w:p>
                <w:p w:rsidR="00AA64AD" w:rsidRDefault="00AA64AD" w:rsidP="00AA64AD">
                  <w:pPr>
                    <w:spacing w:after="0"/>
                  </w:pPr>
                </w:p>
              </w:txbxContent>
            </v:textbox>
          </v:shape>
        </w:pict>
      </w:r>
    </w:p>
    <w:sectPr w:rsidR="00274B1A" w:rsidSect="001125F9">
      <w:pgSz w:w="12240" w:h="15840"/>
      <w:pgMar w:top="540" w:right="1170" w:bottom="27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240353"/>
    <w:rsid w:val="000229DD"/>
    <w:rsid w:val="000E6097"/>
    <w:rsid w:val="001125F9"/>
    <w:rsid w:val="001648D1"/>
    <w:rsid w:val="001B5CA5"/>
    <w:rsid w:val="001C6C77"/>
    <w:rsid w:val="001E4255"/>
    <w:rsid w:val="002161CA"/>
    <w:rsid w:val="002363B3"/>
    <w:rsid w:val="00240353"/>
    <w:rsid w:val="00274B1A"/>
    <w:rsid w:val="002C6C03"/>
    <w:rsid w:val="002C798D"/>
    <w:rsid w:val="002E4481"/>
    <w:rsid w:val="003216F7"/>
    <w:rsid w:val="00330D08"/>
    <w:rsid w:val="00361D91"/>
    <w:rsid w:val="003F4F1B"/>
    <w:rsid w:val="00400C31"/>
    <w:rsid w:val="004043C5"/>
    <w:rsid w:val="0044404A"/>
    <w:rsid w:val="00455C3F"/>
    <w:rsid w:val="00494DE5"/>
    <w:rsid w:val="0051089D"/>
    <w:rsid w:val="00526F75"/>
    <w:rsid w:val="005A2837"/>
    <w:rsid w:val="005D0325"/>
    <w:rsid w:val="006245B2"/>
    <w:rsid w:val="00651E8F"/>
    <w:rsid w:val="006668CD"/>
    <w:rsid w:val="0068016D"/>
    <w:rsid w:val="006F0605"/>
    <w:rsid w:val="006F6623"/>
    <w:rsid w:val="00704979"/>
    <w:rsid w:val="00711938"/>
    <w:rsid w:val="007214E9"/>
    <w:rsid w:val="007B3DD2"/>
    <w:rsid w:val="007E2F63"/>
    <w:rsid w:val="007E7D51"/>
    <w:rsid w:val="007F4F13"/>
    <w:rsid w:val="0088610D"/>
    <w:rsid w:val="009071F8"/>
    <w:rsid w:val="00942507"/>
    <w:rsid w:val="00951BFA"/>
    <w:rsid w:val="00983655"/>
    <w:rsid w:val="009A7C77"/>
    <w:rsid w:val="009F7BD2"/>
    <w:rsid w:val="00A1533D"/>
    <w:rsid w:val="00A30804"/>
    <w:rsid w:val="00A562CA"/>
    <w:rsid w:val="00A56B34"/>
    <w:rsid w:val="00A712EE"/>
    <w:rsid w:val="00A9261D"/>
    <w:rsid w:val="00AA64AD"/>
    <w:rsid w:val="00AF26A0"/>
    <w:rsid w:val="00B514C0"/>
    <w:rsid w:val="00BE2781"/>
    <w:rsid w:val="00BF4388"/>
    <w:rsid w:val="00C0295C"/>
    <w:rsid w:val="00C26E9D"/>
    <w:rsid w:val="00C82030"/>
    <w:rsid w:val="00C95A77"/>
    <w:rsid w:val="00CD0924"/>
    <w:rsid w:val="00D06299"/>
    <w:rsid w:val="00D35C45"/>
    <w:rsid w:val="00D4689C"/>
    <w:rsid w:val="00D5734B"/>
    <w:rsid w:val="00D75C70"/>
    <w:rsid w:val="00DC22A0"/>
    <w:rsid w:val="00E21997"/>
    <w:rsid w:val="00E6465C"/>
    <w:rsid w:val="00E929CF"/>
    <w:rsid w:val="00EC0139"/>
    <w:rsid w:val="00ED758D"/>
    <w:rsid w:val="00F15FF9"/>
    <w:rsid w:val="00F26A45"/>
    <w:rsid w:val="00F814B9"/>
    <w:rsid w:val="00F94B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4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4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255"/>
    <w:rPr>
      <w:rFonts w:ascii="Tahoma" w:hAnsi="Tahoma" w:cs="Tahoma"/>
      <w:sz w:val="16"/>
      <w:szCs w:val="16"/>
    </w:rPr>
  </w:style>
  <w:style w:type="table" w:styleId="TableGrid">
    <w:name w:val="Table Grid"/>
    <w:basedOn w:val="TableNormal"/>
    <w:uiPriority w:val="59"/>
    <w:rsid w:val="00EC01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125F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loydsbank.com"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Chhetry</dc:creator>
  <cp:lastModifiedBy>Manish Chhetry</cp:lastModifiedBy>
  <cp:revision>13</cp:revision>
  <dcterms:created xsi:type="dcterms:W3CDTF">2021-03-10T18:14:00Z</dcterms:created>
  <dcterms:modified xsi:type="dcterms:W3CDTF">2021-03-11T10:46:00Z</dcterms:modified>
</cp:coreProperties>
</file>