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Planejamento do seminário</w:t>
      </w:r>
    </w:p>
    <w:p>
      <w:r>
        <w:t>Masked Modeling em Deep Learning: aprendizagem de representações pela reconstrução de conteúdo oculto</w:t>
      </w:r>
    </w:p>
    <w:p>
      <w:r>
        <w:rPr>
          <w:b/>
        </w:rPr>
        <w:t xml:space="preserve">Grupo: </w:t>
      </w:r>
      <w:r>
        <w:t>[inserir nome e integrantes]</w:t>
      </w:r>
    </w:p>
    <w:p>
      <w:r>
        <w:rPr>
          <w:b/>
        </w:rPr>
        <w:t xml:space="preserve">Questão norteadora: </w:t>
      </w:r>
      <w:r>
        <w:t>Como uma rede neural pode aprender representações úteis a partir de dados sem rótulos, prevendo partes deliberadamente ocultadas da própria entrada?</w:t>
      </w:r>
    </w:p>
    <w:p>
      <w:r>
        <w:t>O seminário apresentará masked modeling como uma família de objetivos de auto-supervisão, não como um único algoritmo. BERT será o exemplo em texto; o foco técnico será o Masked Autoencoder (MAE) para imagens; SimMIM servirá de contraste entre diferentes escolhas de função de perda e arquitetura. BERT prevê tokens ocultos, enquanto MAE e SimMIM predizem conteúdo de imagem, com diferenças no modo de reconstrução (DEVLIN et al., 2019; HE et al., 2022; XIE et al., 2022)[2][4][5].</w:t>
      </w:r>
    </w:p>
    <w:p>
      <w:pPr>
        <w:pStyle w:val="Heading2"/>
      </w:pPr>
      <w:r>
        <w:t>Objetivos</w:t>
      </w:r>
    </w:p>
    <w:p>
      <w:pPr>
        <w:pStyle w:val="ListNumber"/>
      </w:pPr>
      <w:r>
        <w:t>Definir masked modeling e relacioná-lo à aprendizagem auto-supervisionada.</w:t>
      </w:r>
    </w:p>
    <w:p>
      <w:pPr>
        <w:pStyle w:val="ListNumber"/>
      </w:pPr>
      <w:r>
        <w:t>Distinguir a previsão de tokens discretos da reconstrução de pixels.</w:t>
      </w:r>
    </w:p>
    <w:p>
      <w:pPr>
        <w:pStyle w:val="ListNumber"/>
      </w:pPr>
      <w:r>
        <w:t>Explicar o fluxo do MAE com diagrama, equação e pseudocódigo.</w:t>
      </w:r>
    </w:p>
    <w:p>
      <w:pPr>
        <w:pStyle w:val="ListNumber"/>
      </w:pPr>
      <w:r>
        <w:t>Comparar experimentalmente duas proporções de máscara, usando métricas e resultados visuais.</w:t>
      </w:r>
    </w:p>
    <w:p>
      <w:pPr>
        <w:pStyle w:val="Heading2"/>
      </w:pPr>
      <w:r>
        <w:t>Roteiro, com tempo total de 20 minutos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Tempo</w:t>
            </w:r>
          </w:p>
        </w:tc>
        <w:tc>
          <w:tcPr>
            <w:tcW w:type="dxa" w:w="4536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4536"/>
          </w:tcPr>
          <w:p>
            <w:r>
              <w:t>00:00 a 02:00</w:t>
            </w:r>
          </w:p>
        </w:tc>
        <w:tc>
          <w:tcPr>
            <w:tcW w:type="dxa" w:w="4536"/>
          </w:tcPr>
          <w:p>
            <w:r>
              <w:t>Título, integrantes, questão norteadora e motivação: aprender com dados sem anotação manual.</w:t>
            </w:r>
          </w:p>
        </w:tc>
      </w:tr>
      <w:tr>
        <w:tc>
          <w:tcPr>
            <w:tcW w:type="dxa" w:w="4536"/>
          </w:tcPr>
          <w:p>
            <w:r>
              <w:t>02:00 a 05:00</w:t>
            </w:r>
          </w:p>
        </w:tc>
        <w:tc>
          <w:tcPr>
            <w:tcW w:type="dxa" w:w="4536"/>
          </w:tcPr>
          <w:p>
            <w:r>
              <w:t>Conceitos: auto-supervisão, máscara, alvo de predição, pré-treinamento e transferência. Introdução breve a BERT.</w:t>
            </w:r>
          </w:p>
        </w:tc>
      </w:tr>
      <w:tr>
        <w:tc>
          <w:tcPr>
            <w:tcW w:type="dxa" w:w="4536"/>
          </w:tcPr>
          <w:p>
            <w:r>
              <w:t>05:00 a 08:00</w:t>
            </w:r>
          </w:p>
        </w:tc>
        <w:tc>
          <w:tcPr>
            <w:tcW w:type="dxa" w:w="4536"/>
          </w:tcPr>
          <w:p>
            <w:r>
              <w:t>Comparação de BERT, MAE e SimMIM: modalidade, conteúdo previsto, perda e arquitetura.</w:t>
            </w:r>
          </w:p>
        </w:tc>
      </w:tr>
      <w:tr>
        <w:tc>
          <w:tcPr>
            <w:tcW w:type="dxa" w:w="4536"/>
          </w:tcPr>
          <w:p>
            <w:r>
              <w:t>08:00 a 11:00</w:t>
            </w:r>
          </w:p>
        </w:tc>
        <w:tc>
          <w:tcPr>
            <w:tcW w:type="dxa" w:w="4536"/>
          </w:tcPr>
          <w:p>
            <w:r>
              <w:t>Diagrama do processo MAE e explicação da arquitetura assimétrica.</w:t>
            </w:r>
          </w:p>
        </w:tc>
      </w:tr>
      <w:tr>
        <w:tc>
          <w:tcPr>
            <w:tcW w:type="dxa" w:w="4536"/>
          </w:tcPr>
          <w:p>
            <w:r>
              <w:t>11:00 a 15:00</w:t>
            </w:r>
          </w:p>
        </w:tc>
        <w:tc>
          <w:tcPr>
            <w:tcW w:type="dxa" w:w="4536"/>
          </w:tcPr>
          <w:p>
            <w:r>
              <w:t>Derivação da função objetivo e pseudocódigo do treinamento.</w:t>
            </w:r>
          </w:p>
        </w:tc>
      </w:tr>
      <w:tr>
        <w:tc>
          <w:tcPr>
            <w:tcW w:type="dxa" w:w="4536"/>
          </w:tcPr>
          <w:p>
            <w:r>
              <w:t>15:00 a 18:00</w:t>
            </w:r>
          </w:p>
        </w:tc>
        <w:tc>
          <w:tcPr>
            <w:tcW w:type="dxa" w:w="4536"/>
          </w:tcPr>
          <w:p>
            <w:r>
              <w:t>Experimento, métricas, visualizações e interpretação dos resultados obtidos.</w:t>
            </w:r>
          </w:p>
        </w:tc>
      </w:tr>
      <w:tr>
        <w:tc>
          <w:tcPr>
            <w:tcW w:type="dxa" w:w="4536"/>
          </w:tcPr>
          <w:p>
            <w:r>
              <w:t>18:00 a 19:00</w:t>
            </w:r>
          </w:p>
        </w:tc>
        <w:tc>
          <w:tcPr>
            <w:tcW w:type="dxa" w:w="4536"/>
          </w:tcPr>
          <w:p>
            <w:r>
              <w:t>Aplicações, limitações e conclusões.</w:t>
            </w:r>
          </w:p>
        </w:tc>
      </w:tr>
      <w:tr>
        <w:tc>
          <w:tcPr>
            <w:tcW w:type="dxa" w:w="4536"/>
          </w:tcPr>
          <w:p>
            <w:r>
              <w:t>19:00 a 20:00</w:t>
            </w:r>
          </w:p>
        </w:tc>
        <w:tc>
          <w:tcPr>
            <w:tcW w:type="dxa" w:w="4536"/>
          </w:tcPr>
          <w:p>
            <w:r>
              <w:t>Pergunta ou comentário final.</w:t>
            </w:r>
          </w:p>
        </w:tc>
      </w:tr>
    </w:tbl>
    <w:p>
      <w:pPr>
        <w:pStyle w:val="Heading2"/>
      </w:pPr>
      <w:r>
        <w:t>Diagrama de blocos proposto</w:t>
      </w:r>
    </w:p>
    <w:p>
      <w:r>
        <w:t>Imagem sem rótulo → divisão em patches → máscara aleatória → codificador ViT sobre patches visíveis → inserção de tokens de máscara e posições → decodificador leve → reconstrução dos pixels → perda nos patches ocultos → atualização dos parâmetros</w:t>
      </w:r>
    </w:p>
    <w:p>
      <w:r>
        <w:t>No MAE, o codificador processa somente os patches visíveis. O decodificador recebe as representações desses patches e tokens que indicam as posições ocultas, e reconstrói os pixels. O artigo apresenta uma proporção alta de máscara, como 75%; para tarefas posteriores de reconhecimento, o decodificador é descartado e o codificador pode ser adaptado (HE et al., 2022)[4].</w:t>
      </w:r>
    </w:p>
    <w:p>
      <w:pPr>
        <w:pStyle w:val="Heading2"/>
      </w:pPr>
      <w:r>
        <w:t>Derivação e algoritmo</w:t>
      </w:r>
    </w:p>
    <w:p>
      <w:r>
        <w:t>Seja xᵢ o vetor de pixels do patch i, M o conjunto de patches mascarados e x̂ᵢ a reconstrução produzida pelo modelo. A perda pode ser apresentada como erro quadrático médio aplicado apenas aos patches ocultos:</w:t>
      </w:r>
    </w:p>
    <w:p>
      <w:r>
        <w:t>L_MAE = (1 / |M|) Σ_{i ∈ M} (1 / d) ||xᵢ − x̂ᵢ||²₂</w:t>
      </w:r>
    </w:p>
    <w:p>
      <w:r>
        <w:t>em que d é o número de valores de pixel por patch. O artigo descreve a reconstrução em pixels e o cálculo da perda somente nas regiões mascaradas (HE et al., 2022)[4].</w:t>
      </w:r>
    </w:p>
    <w:p>
      <w:pPr>
        <w:pStyle w:val="Pseudocode"/>
      </w:pPr>
      <w:r>
        <w:t>para cada lote de imagens x:</w:t>
        <w:br/>
        <w:t xml:space="preserve">    patches = dividir_em_patches(x)</w:t>
        <w:br/>
        <w:t xml:space="preserve">    visíveis, ocultos, posições = amostrar_máscara(patches, razão=r)</w:t>
        <w:br/>
        <w:t xml:space="preserve">    z = codificador(visíveis, posições_visíveis)</w:t>
        <w:br/>
        <w:t xml:space="preserve">    reconstrução = decodificador(z, tokens_de_máscara, posições)</w:t>
        <w:br/>
        <w:t xml:space="preserve">    perda = MSE(reconstrução[ocultos], patches[ocultos])</w:t>
        <w:br/>
        <w:t xml:space="preserve">    atualizar parâmetros por retropropagação</w:t>
      </w:r>
    </w:p>
    <w:p>
      <w:r>
        <w:t>Como contraste, BERT prevê tokens originais em posições ocultadas do texto. SimMIM também trabalha com imagens, mas apresenta regressão direta de pixels, perda L₁ e uma cabeça de predição linear leve (DEVLIN et al., 2019; HE et al., 2022; XIE et al., 2022)[2][4][5].</w:t>
      </w:r>
    </w:p>
    <w:p>
      <w:pPr>
        <w:pStyle w:val="Heading2"/>
      </w:pPr>
      <w:r>
        <w:t>Experimento proposto</w:t>
      </w:r>
    </w:p>
    <w:p>
      <w:r>
        <w:rPr>
          <w:b/>
        </w:rPr>
        <w:t xml:space="preserve">Pergunta experimental: </w:t>
      </w:r>
      <w:r>
        <w:t>como a proporção de patches ocultos afeta o erro e a aparência das imagens reconstruídas?</w:t>
      </w:r>
    </w:p>
    <w:p>
      <w:pPr>
        <w:pStyle w:val="ListBullet"/>
      </w:pPr>
      <w:r>
        <w:t>Dados: CIFAR-10, com imagens coloridas de 32 × 32 pixels. Usar 5.000 imagens de treino e 1.000 de teste. Os rótulos ficam fora do pré-treinamento mascarado. O conjunto completo contém 60.000 imagens em 10 classes (KRIZHEVSKY; NAIR; HINTON, [s. d.])[8].</w:t>
      </w:r>
    </w:p>
    <w:p>
      <w:pPr>
        <w:pStyle w:val="ListBullet"/>
      </w:pPr>
      <w:r>
        <w:t>Modelo: versão didática pequena de MAE com codificador e decodificador Transformer; patches de 8 × 8 pixels, totalizando 16 patches por imagem.</w:t>
      </w:r>
    </w:p>
    <w:p>
      <w:pPr>
        <w:pStyle w:val="ListBullet"/>
      </w:pPr>
      <w:r>
        <w:t>Condições: comparar razões de máscara de 50% e 75%, mantendo arquitetura, épocas, dados e semente aleatória constantes.</w:t>
      </w:r>
    </w:p>
    <w:p>
      <w:pPr>
        <w:pStyle w:val="ListBullet"/>
      </w:pPr>
      <w:r>
        <w:t>Métrica: erro quadrático médio nos patches ocultos do conjunto de teste. Como extensão, pode-se avaliar um classificador linear com o codificador congelado.</w:t>
      </w:r>
    </w:p>
    <w:p>
      <w:pPr>
        <w:pStyle w:val="ListBullet"/>
      </w:pPr>
      <w:r>
        <w:t>Resultados visuais: mostrar a imagem original, a imagem mascarada e a reconstrução; incluir curva de perda de validação e tabela com o erro final por proporção de máscara.</w:t>
      </w:r>
    </w:p>
    <w:p>
      <w:r>
        <w:t>A hipótese a testar é que uma máscara maior pode exigir maior uso do contexto visível, mas também tornar a reconstrução mais difícil. Isso é uma hipótese, não um resultado antecipado. A qualidade visual da reconstrução, isoladamente, não será tratada como prova de que as representações aprendidas são melhores.</w:t>
      </w:r>
    </w:p>
    <w:p>
      <w:pPr>
        <w:pStyle w:val="Heading2"/>
      </w:pPr>
      <w:r>
        <w:t>Aplicações e limitações</w:t>
      </w:r>
    </w:p>
    <w:p>
      <w:r>
        <w:t>BERT foi avaliado em tarefas de compreensão de linguagem, incluindo resposta a perguntas e inferência textual. O MAE foi estudado em transferência para tarefas visuais, como classificação, detecção de objetos e segmentação (DEVLIN et al., 2019; HE et al., 2022)[2][4]. Como limitações, discutir que a estratégia de máscara e o alvo de predição precisam ser adequados à modalidade, e que uma reconstrução convincente não garante, por si só, bom desempenho em tarefas posteriores (HE et al., 2022; XIE et al., 2022)[4][5].</w:t>
      </w:r>
    </w:p>
    <w:p>
      <w:pPr>
        <w:pStyle w:val="Heading2"/>
      </w:pPr>
      <w:r>
        <w:t>Conteúdo do arquivo compactado</w:t>
      </w:r>
    </w:p>
    <w:p>
      <w:pPr>
        <w:pStyle w:val="Pseudocode"/>
      </w:pPr>
      <w:r>
        <w:t>seminario_masked_modeling.zip</w:t>
        <w:br/>
        <w:t>├── slides.pdf</w:t>
        <w:br/>
        <w:t>├── slides.pptx                 (se desejarem incluir o arquivo editável)</w:t>
        <w:br/>
        <w:t>├── codigo/notebook.ipynb</w:t>
        <w:br/>
        <w:t>├── dados/cifar10_subset/       (subconjunto realmente usado no teste)</w:t>
        <w:br/>
        <w:t>├── resultados/reconstrucoes.png</w:t>
        <w:br/>
        <w:t>├── resultados/curva_perda.png</w:t>
        <w:br/>
        <w:t>├── resultados/metricas.csv</w:t>
        <w:br/>
        <w:t>└── README.md                   (ambiente, execução, semente e fontes)</w:t>
      </w:r>
    </w:p>
    <w:p>
      <w:r>
        <w:t>O repositório oficial do MAE pode servir como referência de implementação e demonstração visual. Se algum código for reutilizado, a origem deverá ser citada nos slides e no README.md (FACEBOOK RESEARCH, [s. d.])[7].</w:t>
      </w:r>
    </w:p>
    <w:p>
      <w:r>
        <w:rPr>
          <w:b/>
        </w:rPr>
        <w:t xml:space="preserve">Status: </w:t>
      </w:r>
      <w:r>
        <w:t>este é o planejamento, não a apresentação pronta. As reconstruções, métricas e curvas ainda precisam ser produzidas; nenhum resultado experimental foi presumido.</w:t>
      </w:r>
    </w:p>
    <w:p>
      <w:pPr>
        <w:pStyle w:val="Heading2"/>
      </w:pPr>
      <w:r>
        <w:t>Referências básicas</w:t>
      </w:r>
    </w:p>
    <w:p>
      <w:pPr>
        <w:pStyle w:val="Reference"/>
      </w:pPr>
      <w:r>
        <w:t>DEVLIN, Jacob; CHANG, Ming-Wei; LEE, Kenton; TOUTANOVA, Kristina. BERT: Pre-training of Deep Bidirectional Transformers for Language Understanding. In: Proceedings of the 2019 Conference of the North American Chapter of the Association for Computational Linguistics: Human Language Technologies. Minneapolis: Association for Computational Linguistics, 2019. v. 1, p. 4171–4186. DOI: 10.18653/v1/N19-1423. [2] https://aclanthology.org/N19-1423/</w:t>
      </w:r>
    </w:p>
    <w:p>
      <w:pPr>
        <w:pStyle w:val="Reference"/>
      </w:pPr>
      <w:r>
        <w:t>FACEBOOK RESEARCH. Masked Autoencoders: A PyTorch Implementation. GitHub, [s. d.]. Disponível em: https://github.com/facebookresearch/mae. Acesso em: 9 out. 2026. [7]</w:t>
      </w:r>
    </w:p>
    <w:p>
      <w:pPr>
        <w:pStyle w:val="Reference"/>
      </w:pPr>
      <w:r>
        <w:t>HE, Kaiming; CHEN, Xinlei; XIE, Saining; LI, Yanghao; DOLLÁR, Piotr; GIRSHICK, Ross. Masked Autoencoders Are Scalable Vision Learners. In: 2022 IEEE/CVF Conference on Computer Vision and Pattern Recognition (CVPR), 2022, New Orleans. [S. l.]: IEEE, 2022. p. 15979–15988. DOI: 10.1109/CVPR52688.2022.01553. [4][13]</w:t>
      </w:r>
    </w:p>
    <w:p>
      <w:pPr>
        <w:pStyle w:val="Reference"/>
      </w:pPr>
      <w:r>
        <w:t>KRIZHEVSKY, Alex; NAIR, Vinod; HINTON, Geoffrey. CIFAR-10 and CIFAR-100 datasets. [S. l.]: University of Toronto, [s. d.]. Disponível em: https://cave.cs.toronto.edu/kriz/cifar.html. Acesso em: 9 out. 2026. [8]</w:t>
      </w:r>
    </w:p>
    <w:p>
      <w:pPr>
        <w:pStyle w:val="Reference"/>
      </w:pPr>
      <w:r>
        <w:t>XIE, Zhenda; ZHANG, Zheng; CAO, Yue; LIN, Yutong; BAO, Jianmin; YAO, Zhuliang; DAI, Qi; HU, Han. SimMIM: A Simple Framework for Masked Image Modeling. In: Proceedings of the IEEE/CVF Conference on Computer Vision and Pattern Recognition (CVPR), 2022, p. 9653–9663. [5] https://openaccess.thecvf.com/content/CVPR2022/html/Xie_SimMIM_A_Simple_Framework_for_Masked_Image_Modeling_CVPR_2022_paper.html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Masked Modeling em Deep Learning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Seminário de Aprendizado Profundo | Planejamento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leNote">
    <w:name w:val="Subtle Note"/>
    <w:basedOn w:val="Normal"/>
    <w:rPr>
      <w:rFonts w:ascii="Arial" w:hAnsi="Arial"/>
      <w:color w:val="555555"/>
      <w:sz w:val="20"/>
    </w:rPr>
  </w:style>
  <w:style w:type="paragraph" w:customStyle="1" w:styleId="Pseudocode">
    <w:name w:val="Pseudocode"/>
    <w:basedOn w:val="Normal"/>
    <w:rPr>
      <w:rFonts w:ascii="Consolas" w:hAnsi="Consolas"/>
      <w:color w:val="222222"/>
      <w:sz w:val="18"/>
    </w:rPr>
  </w:style>
  <w:style w:type="paragraph" w:customStyle="1" w:styleId="Reference">
    <w:name w:val="Reference"/>
    <w:basedOn w:val="Normal"/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