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2E75B6"/>
          <w:sz w:val="40"/>
          <w:szCs w:val="40"/>
        </w:rPr>
        <w:t xml:space="preserve">DPO2U</w:t>
      </w:r>
    </w:p>
    <w:p>
      <w:pPr>
        <w:spacing w:after="600"/>
      </w:pPr>
      <w:r>
        <w:rPr>
          <w:color w:val="808080"/>
          <w:sz w:val="22"/>
          <w:szCs w:val="22"/>
        </w:rPr>
        <w:t xml:space="preserve">Privacy &amp; AI Compliance Protocol</w:t>
      </w:r>
    </w:p>
    <w:p>
      <w:pPr>
        <w:spacing w:after="60"/>
      </w:pPr>
      <w:r>
        <w:rPr>
          <w:b/>
          <w:bCs/>
          <w:color w:val="C00000"/>
          <w:sz w:val="24"/>
          <w:szCs w:val="24"/>
        </w:rPr>
        <w:t xml:space="preserve">WHITE PAPER</w:t>
      </w:r>
    </w:p>
    <w:p>
      <w:pPr>
        <w:pStyle w:val="Title"/>
        <w:spacing w:after="100"/>
      </w:pPr>
      <w:r>
        <w:t xml:space="preserve">DPO2U-Stellar</w:t>
      </w:r>
    </w:p>
    <w:p>
      <w:pPr>
        <w:pStyle w:val="Subtitle"/>
      </w:pPr>
      <w:r>
        <w:t xml:space="preserve">Score privado, prova pública — o selo de cera digital do compliance, em Soroban.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DPO2U-Stellar: atestação de compliance verificável on-chain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Frederico Santana — Founder &amp; DPO, DPO2U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22 de maio de 2026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Stellar Testnet (Soroban)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Licença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github.com/fredericosanntana/dpo2u-stellar</w:t>
            </w:r>
          </w:p>
        </w:tc>
      </w:tr>
    </w:tbl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Documento de uso institucional. Os contratos descritos operam em Stellar Testnet — sem valor econômico e sem dados pessoais reais.</w:t>
      </w:r>
    </w:p>
    <w:p>
      <w:r>
        <w:br w:type="page"/>
      </w:r>
    </w:p>
    <w:p>
      <w:pPr>
        <w:pStyle w:val="Subtitle"/>
        <w:spacing w:after="200"/>
      </w:pPr>
      <w:r>
        <w:rPr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Resumo Executivo</w:t>
      </w:r>
    </w:p>
    <w:p>
      <w:pPr>
        <w:spacing w:after="120" w:line="276"/>
        <w:jc w:val="both"/>
      </w:pPr>
      <w:r>
        <w:t xml:space="preserve">O compliance digitalizou-se e, no processo, perdeu o selo de cera — a marca que tornava um ato demonstrável, infalsificável e verificável por qualquer um. Hoje o compliance é teatro: documentos que ninguém lê e que, quando confrontados, não impedem nada. Em 2023, a Meta pagou 1,2 bilhão de euros em multas de privacidade europeia — com um programa de compliance e um DPO nomeado. Compliance baseado em documentos é compliance baseado em fé.</w:t>
      </w:r>
    </w:p>
    <w:p>
      <w:pPr>
        <w:spacing w:after="120" w:line="276"/>
        <w:jc w:val="both"/>
      </w:pPr>
      <w:r>
        <w:rPr>
          <w:b/>
          <w:bCs/>
        </w:rPr>
        <w:t xml:space="preserve">DPO2U-Stellar</w:t>
      </w:r>
      <w:r>
        <w:t xml:space="preserve"> inverte essa lógica: o score fica privado, a prova vai para a blockchain. É um pipeline de atestação construído sobre Soroban, a plataforma de contratos inteligentes da Stellar, que registra vereditos de conformidade — PASS, FAIL ou REVIEW — junto do hash da evidência e de metadados públicos. Nenhum dado pessoal vai para a cadeia. A verificação é read-only e acessível a qualquer cidadão ou auditor.</w:t>
      </w:r>
    </w:p>
    <w:p>
      <w:pPr>
        <w:spacing w:after="120" w:line="276"/>
        <w:jc w:val="both"/>
      </w:pPr>
      <w:r>
        <w:t xml:space="preserve">O pipeline atende duas frentes sobre um único contrato genérico: B2G — detecção de irregularidades em contratos públicos brasileiros — e B2B — atestação de conformidade regulatória de organizações em 16 jurisdições. Uma terceira camada, de zero-knowledge, permite provar conformidade sem revelar o score. O núcleo está verificado em testnet (~92%); o que resta é portão de produção — cerimônia de trusted setup, auditoria externa e decisão humana de mainnet.</w:t>
      </w:r>
    </w:p>
    <w:p>
      <w:pPr>
        <w:pStyle w:val="Heading1"/>
      </w:pPr>
      <w:r>
        <w:t xml:space="preserve">1. O Problema</w:t>
      </w:r>
    </w:p>
    <w:p>
      <w:pPr>
        <w:pStyle w:val="Heading2"/>
      </w:pPr>
      <w:r>
        <w:t xml:space="preserve">1.1 O compliance perdeu o selo</w:t>
      </w:r>
    </w:p>
    <w:p>
      <w:pPr>
        <w:spacing w:after="120" w:line="276"/>
        <w:jc w:val="both"/>
      </w:pPr>
      <w:r>
        <w:t xml:space="preserve">Durante mil anos, um ato tornava-se vinculante quando a cera quente encontrava o papel. O selo era demonstrável à vista, impossível de falsificar sem a matriz, e verificável por qualquer um. A digitalização substituiu o selo por PDFs e planilhas — artefatos que afirmam conformidade mas não a provam. A prova, quando exigida, obriga a organização a abrir dados sensíveis a um terceiro de confiança.</w:t>
      </w:r>
    </w:p>
    <w:p>
      <w:pPr>
        <w:pStyle w:val="Heading2"/>
      </w:pPr>
      <w:r>
        <w:t xml:space="preserve">1.2 O custo no setor público</w:t>
      </w:r>
    </w:p>
    <w:p>
      <w:pPr>
        <w:spacing w:after="120" w:line="276"/>
        <w:jc w:val="both"/>
      </w:pPr>
      <w:r>
        <w:t xml:space="preserve">Em contratações públicas, a ausência de verificabilidade independente é explorada. O caso documentado pelo TJDFT registra uma fraude de R$ 5,5 milhões por troca silenciosa da conta bancária de um fornecedor entre o empenho e o pagamento. O Brasil tem 5.570 municípios. O auditor externo — TCE, TCU, CGU — precisa verificar irregularidades justamente onde o incentivo à cooperação é menor: dentro do ente auditado.</w:t>
      </w:r>
    </w:p>
    <w:p>
      <w:pPr>
        <w:pStyle w:val="Heading2"/>
      </w:pPr>
      <w:r>
        <w:t xml:space="preserve">1.3 O requisito decorrente</w:t>
      </w:r>
    </w:p>
    <w:p>
      <w:pPr>
        <w:spacing w:after="120" w:line="276"/>
        <w:jc w:val="both"/>
      </w:pPr>
      <w:r>
        <w:t xml:space="preserve">Daí o requisito central do projeto: a prova de uma decisão de conformidade precisa ser verificável sem a cooperação de quem a produziu, e sem expor os dados que a fundamentam.</w:t>
      </w:r>
    </w:p>
    <w:p>
      <w:pPr>
        <w:pStyle w:val="Heading1"/>
      </w:pPr>
      <w:r>
        <w:t xml:space="preserve">2. A Tese — Compliance como Protocolo</w:t>
      </w:r>
    </w:p>
    <w:p>
      <w:pPr>
        <w:spacing w:after="120" w:line="276"/>
        <w:jc w:val="both"/>
      </w:pPr>
      <w:r>
        <w:t xml:space="preserve">A DPO2U trata o compliance como um protocolo, não como um documento. Um MCP (Model Context Protocol) transforma regras jurídicas em circuitos: leis viram predicados, evidências viram atestações on-chain, auditorias viram verificação criptográfica em tempo real. O invariante é </w:t>
      </w:r>
      <w:r>
        <w:rPr>
          <w:b/>
          <w:bCs/>
        </w:rPr>
        <w:t xml:space="preserve">score privado, prova pública</w:t>
      </w:r>
      <w:r>
        <w:t xml:space="preserve"> — a organização guarda o detalhe sensível; a cadeia guarda a prova verificável.</w:t>
      </w:r>
    </w:p>
    <w:p>
      <w:pPr>
        <w:spacing w:after="120" w:line="276"/>
        <w:jc w:val="both"/>
      </w:pPr>
      <w:r>
        <w:t xml:space="preserve">DPO2U-Stellar é a materialização dessa tese em Soroban. Três princípios são inegociáveis: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dado pessoal on-chain — a cadeia recebe apenas hash, metadados públicos e identificador de predicado.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Determinismo total no contrato Soroban — zero oráculos, zero chamadas externas.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Extensibilidade por configuração — um novo caso de uso é um novo predicado no MCP, não um redeploy de contrato.</w:t>
      </w:r>
    </w:p>
    <w:p>
      <w:pPr>
        <w:pStyle w:val="Heading1"/>
      </w:pPr>
      <w:r>
        <w:t xml:space="preserve">3. Arquitetura do Pipeline</w:t>
      </w:r>
    </w:p>
    <w:p>
      <w:pPr>
        <w:spacing w:after="120" w:line="276"/>
        <w:jc w:val="both"/>
      </w:pPr>
      <w:r>
        <w:t xml:space="preserve">O sistema separa avaliação de registro. A avaliação de predicados sobre evidências acontece fora da cadeia, no MCP; o registro do veredito acontece on-chain, no contrato Soroban. Entre os dois, o Pilot Gateway é a superfície de submissão.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MCP DPO2U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Avalia predicados sobre evidências fora da cadeia e produz o veredito.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Pilot Gateway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Superfície HTTP (POST /api/v1/attestation/submit) + StellarDriver; submete ao contrato.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anticorruption-attestation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Contrato Soroban imutável: registra e expõe atestações.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zk-verifier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Contrato Soroban que verifica provas Groth16/BLS12-381 on-chain.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SDK + painéis /pilot/*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Catálogo de casos de uso e interfaces de demonstração e verificação.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Horizon / Stellar Expert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Indexação e leitura pública — verificação por qualquer terceiro.</w:t>
            </w:r>
          </w:p>
        </w:tc>
      </w:tr>
    </w:tbl>
    <w:p>
      <w:pPr>
        <w:spacing w:after="120" w:line="276"/>
        <w:jc w:val="both"/>
      </w:pPr>
      <w:r>
        <w:t xml:space="preserve">O fluxo: evidência → MCP avalia predicados → veredito + hash → Pilot Gateway → register_attestation no contrato → evento indexado → verificação read-only por qualquer parte.</w:t>
      </w:r>
    </w:p>
    <w:p>
      <w:pPr>
        <w:pStyle w:val="Heading1"/>
      </w:pPr>
      <w:r>
        <w:t xml:space="preserve">4. O Contrato anticorruption-attestation</w:t>
      </w:r>
    </w:p>
    <w:p>
      <w:pPr>
        <w:spacing w:after="120" w:line="276"/>
        <w:jc w:val="both"/>
      </w:pPr>
      <w:r>
        <w:t xml:space="preserve">O contrato é </w:t>
      </w:r>
      <w:r>
        <w:rPr>
          <w:b/>
          <w:bCs/>
        </w:rPr>
        <w:t xml:space="preserve">imutável por design</w:t>
      </w:r>
      <w:r>
        <w:t xml:space="preserve">: sem proxy, sem função de upgrade. O argumento institucional é direto — código verificado é código executado. A evolução se dá por um novo contrato em novo endereço; as atestações antigas permanecem verificáveis no contrato original. O wasm otimizado tem 5.865 bytes.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chama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__constructor(admin)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deployer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Grava o admin imutavelmente.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configure_use_case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Define predicate_set, versão e status ativo de um caso de uso.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authorize_submitter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Adiciona ou remove signer da whitelist de submitters.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register_attestation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submitter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Persiste veredito + hash + metadados; emite evento attest.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verify_attestation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um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Read-only; retorna o registro de atestação.</w:t>
            </w:r>
          </w:p>
        </w:tc>
      </w:tr>
    </w:tbl>
    <w:p>
      <w:pPr>
        <w:spacing w:after="120" w:line="276"/>
        <w:jc w:val="both"/>
      </w:pPr>
      <w:r>
        <w:t xml:space="preserve">Os eventos attest, config e auth são indexáveis via Horizon. O contrato define erros tipados — NotAuthorized, UseCaseInactive, AttestationExists, AttestationNotFound, AdminOnly, AlreadyInitialized — garantindo falha explícita e auditável.</w:t>
      </w:r>
    </w:p>
    <w:p>
      <w:pPr>
        <w:pStyle w:val="Heading1"/>
      </w:pPr>
      <w:r>
        <w:t xml:space="preserve">5. Camada B2G — Piloto Anticorrupção</w:t>
      </w:r>
    </w:p>
    <w:p>
      <w:pPr>
        <w:spacing w:after="120" w:line="276"/>
        <w:jc w:val="both"/>
      </w:pPr>
      <w:r>
        <w:t xml:space="preserve">A camada B2G aplica o pipeline à detecção de irregularidades em contratos públicos. Seis casos de uso estão configurados on-chain: verificação de sanção, sobrepreço, beneficiário divergente, sinalização de leniência, rodízio de vencedores e troca de conta bancária.</w:t>
      </w:r>
    </w:p>
    <w:p>
      <w:pPr>
        <w:spacing w:after="120" w:line="276"/>
        <w:jc w:val="both"/>
      </w:pPr>
      <w:r>
        <w:t xml:space="preserve">O piloto já produziu resultado real: </w:t>
      </w:r>
      <w:r>
        <w:rPr>
          <w:b/>
          <w:bCs/>
        </w:rPr>
        <w:t xml:space="preserve">1.262 alertas</w:t>
      </w:r>
      <w:r>
        <w:t xml:space="preserve"> foram atestados a partir de dados públicos — sanção, sobrepreço e leniência — com integração à API gov.br. Entre os achados, 50 empresas com acordo de leniência ainda contratando com a União. O piloto roda em modo observador por 90 dias úteis num município pequeno antes de qualquer go-live bloqueante.</w:t>
      </w:r>
    </w:p>
    <w:p>
      <w:pPr>
        <w:spacing w:after="120" w:line="276"/>
        <w:jc w:val="both"/>
      </w:pPr>
      <w:r>
        <w:t xml:space="preserve">A varredura de beneficiário divergente sobre 163 documentos retornou zero divergências — um resultado honesto e registrado como tal. O projeto atesta a realidade; não fabrica achados.</w:t>
      </w:r>
    </w:p>
    <w:p>
      <w:pPr>
        <w:pStyle w:val="Heading1"/>
      </w:pPr>
      <w:r>
        <w:t xml:space="preserve">6. Camada B2B — Compliance de Organizações</w:t>
      </w:r>
    </w:p>
    <w:p>
      <w:pPr>
        <w:spacing w:after="120" w:line="276"/>
        <w:jc w:val="both"/>
      </w:pPr>
      <w:r>
        <w:t xml:space="preserve">O mesmo contrato genérico hospeda a camada B2B — atestação de conformidade de organizações — sem qualquer mudança de código no contrato, apenas via configure_use_case. Nove casos de uso B2B somam-se aos seis B2G, totalizando 15 casos de uso sobre um único contrato.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Atestação de conformidade regulatória: LGPD e GDPR (DPO, bases legais, RoPA, DPIA, notificação de incidente).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Registros jurisdicionais: consentimento, opt-out CCPA, nomeação POPIA, consentimento PIPEDA e identidade PIPA-Coreia — cada registro é uma atestação cujo evidence carrega apenas hashes.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compliance_attestation_v1 cobre 16 jurisdições de proteção de dados.</w:t>
      </w:r>
    </w:p>
    <w:p>
      <w:pPr>
        <w:spacing w:after="120" w:line="276"/>
        <w:jc w:val="both"/>
      </w:pPr>
      <w:r>
        <w:t xml:space="preserve">Em demonstração (dogfood), a própria DPO2U atestou sua postura GDPR no contrato — veredito REVIEW honesto, com três controles confirmados e três a documentar, selado e verificado on-chain. A camada B2B confirma a tese de projeto: não é um port de programas separados, e sim o contrato genérico absorvendo novos casos de uso.</w:t>
      </w:r>
    </w:p>
    <w:p>
      <w:pPr>
        <w:pStyle w:val="Heading1"/>
      </w:pPr>
      <w:r>
        <w:t xml:space="preserve">7. Camada ZK — Score Privado, Prova Pública</w:t>
      </w:r>
    </w:p>
    <w:p>
      <w:pPr>
        <w:spacing w:after="120" w:line="276"/>
        <w:jc w:val="both"/>
      </w:pPr>
      <w:r>
        <w:t xml:space="preserve">A camada de zero-knowledge realiza o invariante da DPO2U na sua forma mais forte: provar que um score de conformidade atinge um limiar </w:t>
      </w:r>
      <w:r>
        <w:rPr>
          <w:b/>
          <w:bCs/>
        </w:rPr>
        <w:t xml:space="preserve">sem revelar o score</w:t>
      </w:r>
      <w:r>
        <w:t xml:space="preserve">. O contrato zk-verifier verifica provas Groth16 sobre a curva BLS12-381, usando as host functions nativas do Protocol 22 da Stellar.</w:t>
      </w:r>
    </w:p>
    <w:p>
      <w:pPr>
        <w:spacing w:after="120" w:line="276"/>
        <w:jc w:val="both"/>
      </w:pPr>
      <w:r>
        <w:t xml:space="preserve">O circuito incorpora um binding anti-replay: um segundo sinal público, o context, amarra a prova ao seu contexto de emissão. O verificador rejeita qualquer prova cujo context tenha sido adulterado — propriedade confirmada on-chain. Assim, uma prova válida não pode ser reapresentada fora do contexto para o qual foi gerada.</w:t>
      </w:r>
    </w:p>
    <w:p>
      <w:pPr>
        <w:pStyle w:val="Heading1"/>
      </w:pPr>
      <w:r>
        <w:t xml:space="preserve">8. Por que Stellar / Soroban</w:t>
      </w:r>
    </w:p>
    <w:p>
      <w:pPr>
        <w:spacing w:after="120" w:line="276"/>
        <w:jc w:val="both"/>
      </w:pPr>
      <w:r>
        <w:t xml:space="preserve">A escolha da Stellar decorre diretamente do requisito de verificabilidade independente. O auditor externo precisa verificar sem cooperar com o ente auditado — e Soroban, Horizon e Stellar Expert entregam essa propriedade prontos. A função verify_attestation é read-only e qualquer cidadão a consulta.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Custo desprezível: deploy abaixo de 1 XLM em testnet; atestação na ordem de milésimos de centavo em mainnet.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Finalidade subsegundo — a atestação sela rapidamente e fica indexada.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Host functions BLS12-381 nativas (Protocol 22) viabilizam o verificador Groth16 on-chain sem gambiarra.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Determinismo do ambiente Soroban sustenta o princípio de zero oráculos.</w:t>
      </w:r>
    </w:p>
    <w:p>
      <w:pPr>
        <w:pStyle w:val="Heading1"/>
      </w:pPr>
      <w:r>
        <w:t xml:space="preserve">9. Segurança</w:t>
      </w:r>
    </w:p>
    <w:p>
      <w:pPr>
        <w:spacing w:after="120" w:line="276"/>
        <w:jc w:val="both"/>
      </w:pPr>
      <w:r>
        <w:t xml:space="preserve">O pipeline passou por auditoria interna orientada por threat model. A revisão encontrou um achado crítico e o corrigiu na mesma rodada.</w:t>
      </w:r>
    </w:p>
    <w:p>
      <w:pPr>
        <w:pStyle w:val="Heading2"/>
      </w:pPr>
      <w:r>
        <w:t xml:space="preserve">9.1 Achado T1 — verifying key fornecida pelo cliente</w:t>
      </w:r>
    </w:p>
    <w:p>
      <w:pPr>
        <w:spacing w:after="120" w:line="276"/>
        <w:jc w:val="both"/>
      </w:pPr>
      <w:r>
        <w:t xml:space="preserve">O gateway verificava a prova ZK usando a verifying key vinda do payload do cliente. Um cliente malicioso poderia gerar o próprio trusted setup, submeter sua própria vk e proof, e selar on-chain uma atestação de “conformidade verificada em zero-knowledge” sem jamais ter atingido o limiar — derrota total da soundness da camada ZK.</w:t>
      </w:r>
    </w:p>
    <w:p>
      <w:pPr>
        <w:spacing w:after="120" w:line="276"/>
        <w:jc w:val="both"/>
      </w:pPr>
      <w:r>
        <w:rPr>
          <w:b/>
          <w:bCs/>
        </w:rPr>
        <w:t xml:space="preserve">Correção: </w:t>
      </w:r>
      <w:r>
        <w:t xml:space="preserve">a verifying key canônica do circuito passou a ser fixada no gateway (canonical-vk.ts), nunca aceita do cliente. A função de verificação usa sempre a vk canônica, sem parâmetro de override. A atestação sela zk_vk_pinned e zk_vk_hash para auditabilidade. Commit 6afecb92; teste de regressão confirma que uma vk adulterada é ignorada. Suíte do gateway: 65/65 verde.</w:t>
      </w:r>
    </w:p>
    <w:p>
      <w:pPr>
        <w:pStyle w:val="Heading2"/>
      </w:pPr>
      <w:r>
        <w:t xml:space="preserve">9.2 Achados de menor severidade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Replay de prova — mitigado pelo binding de contexto.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Maleabilidade de prova Groth16 — baixa; identidade da atestação usa o evidence_hash, não o proof_hash.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Toxic waste do trusted setup — risco de processo; runbook de cerimônia MPC entregue, execução pendente.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Contrato single-sig — hardening de multisig nativo Stellar planejado para o mainnet.</w:t>
      </w:r>
    </w:p>
    <w:p>
      <w:pPr>
        <w:pStyle w:val="Heading1"/>
      </w:pPr>
      <w:r>
        <w:t xml:space="preserve">10. Estado Atual e Roadmap</w:t>
      </w:r>
    </w:p>
    <w:p>
      <w:pPr>
        <w:spacing w:after="120" w:line="276"/>
        <w:jc w:val="both"/>
      </w:pPr>
      <w:r>
        <w:t xml:space="preserve">O pipeline criptográfico/computacional funciona ponta-a-ponta em testnet e é demonstrável hoje. O estado consolidado é </w:t>
      </w:r>
      <w:r>
        <w:rPr>
          <w:b/>
          <w:bCs/>
        </w:rPr>
        <w:t xml:space="preserve">~92%</w:t>
      </w:r>
      <w:r>
        <w:t xml:space="preserve">: dois contratos Soroban em testnet, 15 casos de uso on-chain, 1.262 alertas reais atestados, suítes de teste verdes (372 no mcp-server, 63 no pilot-gateway).</w:t>
      </w:r>
    </w:p>
    <w:p>
      <w:pPr>
        <w:spacing w:after="120" w:line="276"/>
        <w:jc w:val="both"/>
      </w:pPr>
      <w:r>
        <w:t xml:space="preserve">O resíduo de ~8% é portão de produção — trabalho de processo, cerimônia e decisão, não de invenção: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Executar a cerimônia de trusted setup (MPC multi-party) e fixar a vk cerimonial.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Concluir a auditoria de segurança externa e independente do verificador.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Aplicar multisig nativo ao admin/submitter do contrato.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Tomar a decisão humana explícita de deploy em mainnet, após 90 dias de observador L1.</w:t>
      </w:r>
    </w:p>
    <w:p>
      <w:pPr>
        <w:pStyle w:val="Heading1"/>
      </w:pPr>
      <w:r>
        <w:t xml:space="preserve">11. Conclusão</w:t>
      </w:r>
    </w:p>
    <w:p>
      <w:pPr>
        <w:spacing w:after="120" w:line="276"/>
        <w:jc w:val="both"/>
      </w:pPr>
      <w:r>
        <w:t xml:space="preserve">DPO2U-Stellar devolve ao compliance a propriedade que a digitalização lhe tirou: a verificabilidade do selo de cera. Uma decisão de conformidade deixa de ser uma afirmação em um PDF e passa a ser uma atestação selada on-chain — demonstrável, infalsificável e verificável por qualquer um, sem expor um único dado pessoal.</w:t>
      </w:r>
    </w:p>
    <w:p>
      <w:pPr>
        <w:spacing w:after="120" w:line="276"/>
        <w:jc w:val="both"/>
      </w:pPr>
      <w:r>
        <w:t xml:space="preserve">A pergunta não é se a regulação vai chegar on-chain, e sim quem vai construir o protocolo sobre o qual ela vai rodar. DPO2U-Stellar é esse protocolo para o compliance — o HTTPS do compliance, para Web2 e Web3.</w:t>
      </w:r>
    </w:p>
    <w:p>
      <w:pPr>
        <w:spacing w:before="400"/>
      </w:pPr>
      <w:r>
        <w:rPr>
          <w:i/>
          <w:iCs/>
          <w:color w:val="808080"/>
          <w:sz w:val="20"/>
          <w:szCs w:val="20"/>
        </w:rPr>
        <w:t xml:space="preserve">“Compliance is a protocol, not a PDF.” — DPO2U</w:t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Repositório: </w:t>
      </w:r>
      <w:hyperlink w:history="1" r:id="rIdl_om-xzmqmggh7jg5yk_f">
        <w:r>
          <w:rPr>
            <w:rStyle w:val="Hyperlink"/>
            <w:sz w:val="20"/>
            <w:szCs w:val="20"/>
          </w:rPr>
          <w:t xml:space="preserve">github.com/fredericosanntana/dpo2u-stellar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Contrato anticorruption-attestation (testnet): CC4TJGDRWZOPGBWOOHBJF3N2VKUQRNIW6C6PTYHD7ZI3D42GBQRRZHM5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Contrato zk-verifier (testnet): CBOOYCOU4USCWDKPRXFG4IVA7BLU6ILXD2OBTAMNBM3V3HKRVQC5FMNT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Fechamento do pipeline: docs/2026-05-22-pipeline-closeout.md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Auditoria de segurança: docs/2026-05-22-security-audit.md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Threat model do verificador: docs/zk-verifier-threat-model.md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808080"/>
        <w:sz w:val="16"/>
        <w:szCs w:val="16"/>
      </w:rPr>
      <w:t xml:space="preserve">White Paper — DPO2U-Stellar</w:t>
    </w:r>
    <w:r>
      <w:rPr>
        <w:color w:val="808080"/>
        <w:sz w:val="16"/>
        <w:szCs w:val="16"/>
      </w:rPr>
      <w:t xml:space="preserve">	DPO2U — Compliance is a protocol, not a PDF.	</w:t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Arial" w:cs="Arial" w:eastAsia="Arial" w:hAnsi="Arial"/>
      <w:color w:val="555555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_om-xzmqmggh7jg5yk_f" Type="http://schemas.openxmlformats.org/officeDocument/2006/relationships/hyperlink" Target="https://github.com/fredericosanntana/dpo2u-stella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Paper — DPO2U-Stellar</dc:title>
  <dc:creator>DPO2U</dc:creator>
  <dc:description>White paper do pipeline DPO2U-Stellar</dc:description>
  <cp:lastModifiedBy>Un-named</cp:lastModifiedBy>
  <cp:revision>1</cp:revision>
  <dcterms:created xsi:type="dcterms:W3CDTF">2026-05-22T20:48:11.206Z</dcterms:created>
  <dcterms:modified xsi:type="dcterms:W3CDTF">2026-05-22T20:48:11.206Z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