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DPO</w:t>
      </w:r>
    </w:p>
    <w:p>
      <w:pPr>
        <w:pStyle w:val="BodyText"/>
      </w:pPr>
      <w:r>
        <w:rPr>
          <w:b/>
          <w:bCs/>
        </w:rPr>
        <w:t xml:space="preserve">2U.</w:t>
      </w:r>
    </w:p>
    <w:p>
      <w:pPr>
        <w:pStyle w:val="BodyText"/>
      </w:pPr>
      <w:r>
        <w:rPr>
          <w:i/>
          <w:iCs/>
        </w:rPr>
        <w:t xml:space="preserve">Compliance as protocol.</w:t>
      </w:r>
    </w:p>
    <w:p>
      <w:r>
        <w:pict>
          <v:rect style="width:0;height:1.5pt" o:hralign="center" o:hrstd="t" o:hr="t"/>
        </w:pict>
      </w:r>
    </w:p>
    <w:bookmarkStart w:id="20" w:name="prd-dpo2u-gov"/>
    <w:p>
      <w:pPr>
        <w:pStyle w:val="Heading1"/>
      </w:pPr>
      <w:r>
        <w:t xml:space="preserve">PRD — DPO2U-Gov</w:t>
      </w:r>
    </w:p>
    <w:p>
      <w:pPr>
        <w:pStyle w:val="FirstParagraph"/>
      </w:pPr>
      <w:r>
        <w:rPr>
          <w:b/>
          <w:bCs/>
        </w:rPr>
        <w:t xml:space="preserve">Módulo de compliance protocolar para Administração Pública</w:t>
      </w:r>
    </w:p>
    <w:p>
      <w:pPr>
        <w:pStyle w:val="BodyText"/>
      </w:pPr>
      <w:r>
        <w:rPr>
          <w:i/>
          <w:iCs/>
        </w:rPr>
        <w:t xml:space="preserve">Documento preparado para discussão com Paulo Henrique Figueiredo de Oliveira e equipe de desenvolvimento.</w:t>
      </w:r>
    </w:p>
    <w:p>
      <w:pPr>
        <w:pStyle w:val="BodyText"/>
      </w:pPr>
      <w:r>
        <w:rPr>
          <w:b/>
          <w:bCs/>
        </w:rPr>
        <w:t xml:space="preserve">Versão 0.5 — Estratégia Joinville · Stack Stellar</w:t>
      </w:r>
    </w:p>
    <w:p>
      <w:pPr>
        <w:pStyle w:val="BodyText"/>
      </w:pPr>
      <w:r>
        <w:t xml:space="preserve">DPO2U Research House — Maio de 2026 (revisão pós-implementação testnet)</w:t>
      </w:r>
    </w:p>
    <w:p>
      <w:pPr>
        <w:pStyle w:val="BodyText"/>
      </w:pPr>
      <w:r>
        <w:t xml:space="preserve">Autor: Fred Santana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 que mudou da v0.4 para a v0.5.</w:t>
      </w:r>
      <w:r>
        <w:t xml:space="preserve"> </w:t>
      </w:r>
      <w:r>
        <w:t xml:space="preserve">A versão anterior descrevia a camada on-chain do módulo Gov como programa Solana em Anchor. Entre o draft de abril e o draft atual, a research house implementou e fez o deploy do primeiro contrato em produção pública (testnet) — não em Solana, mas em</w:t>
      </w:r>
      <w:r>
        <w:t xml:space="preserve"> </w:t>
      </w:r>
      <w:r>
        <w:rPr>
          <w:b/>
          <w:bCs/>
        </w:rPr>
        <w:t xml:space="preserve">Stellar Soroban</w:t>
      </w:r>
      <w:r>
        <w:t xml:space="preserve">. A v0.5 reflete essa decisão arquitetural, atualiza os argumentos institucionais correspondentes, e substitui o anexo de</w:t>
      </w:r>
      <w:r>
        <w:t xml:space="preserve"> </w:t>
      </w:r>
      <w:r>
        <w:t xml:space="preserve">“</w:t>
      </w:r>
      <w:r>
        <w:t xml:space="preserve">Programa Solana — esboço de contas</w:t>
      </w:r>
      <w:r>
        <w:t xml:space="preserve">”</w:t>
      </w:r>
      <w:r>
        <w:t xml:space="preserve"> </w:t>
      </w:r>
      <w:r>
        <w:t xml:space="preserve">pelo contrato real já em testnet, com tx hashes públicos verificáveis. O restante do escopo (módulos, divisão de responsabilidades, estratégia de adoção em três níveis, casos de uso, cronograma, riscos) permanece. Não mudou o sujeito regulado, não mudou a estratégia, mudou a chain. E a chain mudou porque o argumento institucional é mais sólido em Stellar.</w:t>
      </w:r>
    </w:p>
    <w:p>
      <w:r>
        <w:pict>
          <v:rect style="width:0;height:1.5pt" o:hralign="center" o:hrstd="t" o:hr="t"/>
        </w:pict>
      </w:r>
    </w:p>
    <w:bookmarkEnd w:id="20"/>
    <w:bookmarkStart w:id="21" w:name="parte-1"/>
    <w:p>
      <w:pPr>
        <w:pStyle w:val="Heading1"/>
      </w:pPr>
      <w:r>
        <w:t xml:space="preserve">PARTE 1</w:t>
      </w:r>
    </w:p>
    <w:bookmarkEnd w:id="21"/>
    <w:bookmarkStart w:id="45" w:name="visão-executiva"/>
    <w:p>
      <w:pPr>
        <w:pStyle w:val="Heading1"/>
      </w:pPr>
      <w:r>
        <w:t xml:space="preserve">Visão Executiva</w:t>
      </w:r>
    </w:p>
    <w:bookmarkStart w:id="22" w:name="contexto"/>
    <w:p>
      <w:pPr>
        <w:pStyle w:val="Heading2"/>
      </w:pPr>
      <w:r>
        <w:t xml:space="preserve">1. Contexto</w:t>
      </w:r>
    </w:p>
    <w:p>
      <w:pPr>
        <w:pStyle w:val="FirstParagraph"/>
      </w:pPr>
      <w:r>
        <w:t xml:space="preserve">Em maio de 2026 a DPO2U foi convidada a apoiar o projeto de pesquisa apresentado por Paulo Henrique Figueiredo de Oliveira como Projeto Final no curso da PUC-Rio, intitulado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Contratos Inteligentes em Blockchain na Administração Pública: uma proposta anticorrupção com inteligência artificial validadora</w:t>
      </w:r>
      <w:r>
        <w:rPr>
          <w:i/>
          <w:iCs/>
        </w:rPr>
        <w:t xml:space="preserve">”</w:t>
      </w:r>
      <w:r>
        <w:t xml:space="preserve">. O trabalho propõe uma arquitetura jurídico-tecnológica em camadas para reduzir brechas de manipulação na execução contratual pública, combinando IA auxiliar, motor de regras determinístico, smart contracts e blockchain pública permissionada.</w:t>
      </w:r>
    </w:p>
    <w:p>
      <w:pPr>
        <w:pStyle w:val="BodyText"/>
      </w:pPr>
      <w:r>
        <w:t xml:space="preserve">A leitura técnica do resumo executivo evidenciou que a arquitetura descrita por Paulo é, em essência, compliance-as-protocol aplicada ao setor público — exatamente o framework conceitual e técnico que a DPO2U opera há mais de um ano para o setor privado. A research house mantém hoje 17 jurisdições modeladas em predicados verificáveis, infraestrutura on-chain (Solana para os módulos Enterprise/Web3 e Stellar para o módulo Gov), e camada MCP em produção. O que separa o caso público do privado não é arquitetura, é base normativa, sujeito regulado e ciclo documental.</w:t>
      </w:r>
    </w:p>
    <w:p>
      <w:pPr>
        <w:pStyle w:val="BodyText"/>
      </w:pPr>
      <w:r>
        <w:t xml:space="preserve">Esse documento propõe transformar essa convergência em colaboração estruturada. A DPO2U está lançando um novo módulo da sua suíte de produtos —</w:t>
      </w:r>
      <w:r>
        <w:t xml:space="preserve"> </w:t>
      </w:r>
      <w:r>
        <w:rPr>
          <w:b/>
          <w:bCs/>
        </w:rPr>
        <w:t xml:space="preserve">DPO2U-Gov</w:t>
      </w:r>
      <w:r>
        <w:t xml:space="preserve"> </w:t>
      </w:r>
      <w:r>
        <w:t xml:space="preserve">— voltado a compliance protocolar para entes públicos. O projeto do Paulo é o piloto inaugural deste módulo: um caso real, com time dedicado de duas desenvolvedoras e suporte jurídico, que valida a arquitetura em campo enquanto a DPO2U fornece a infraestrutura de produção.</w:t>
      </w:r>
    </w:p>
    <w:p>
      <w:pPr>
        <w:pStyle w:val="BodyText"/>
      </w:pPr>
      <w:r>
        <w:t xml:space="preserve">A v0.5 deste documento difere da v0.4 num único ponto material: a camada on-chain do módulo Gov foi implementada em</w:t>
      </w:r>
      <w:r>
        <w:t xml:space="preserve"> </w:t>
      </w:r>
      <w:r>
        <w:rPr>
          <w:b/>
          <w:bCs/>
        </w:rPr>
        <w:t xml:space="preserve">Stellar Soroban</w:t>
      </w:r>
      <w:r>
        <w:t xml:space="preserve">, não em Solana. Contrato</w:t>
      </w:r>
      <w:r>
        <w:t xml:space="preserve"> </w:t>
      </w:r>
      <w:r>
        <w:rPr>
          <w:rStyle w:val="VerbatimChar"/>
        </w:rPr>
        <w:t xml:space="preserve">anticorruption-attestation</w:t>
      </w:r>
      <w:r>
        <w:t xml:space="preserve"> </w:t>
      </w:r>
      <w:r>
        <w:t xml:space="preserve">deployed em Stellar testnet em 12 de maio de 2026, identificador público</w:t>
      </w:r>
      <w:r>
        <w:t xml:space="preserve"> </w:t>
      </w:r>
      <w:r>
        <w:rPr>
          <w:rStyle w:val="VerbatimChar"/>
        </w:rPr>
        <w:t xml:space="preserve">CC4TJGDRWZOPGBWOOHBJF3N2VKUQRNIW6C6PTYHD7ZI3D42GBQRRZHM5</w:t>
      </w:r>
      <w:r>
        <w:t xml:space="preserve">. A escolha da chain é justificada na §9 — e ela importa institucionalmente, não tecnicamente.</w:t>
      </w:r>
    </w:p>
    <w:bookmarkEnd w:id="22"/>
    <w:bookmarkStart w:id="23" w:name="princípios-da-colaboração"/>
    <w:p>
      <w:pPr>
        <w:pStyle w:val="Heading2"/>
      </w:pPr>
      <w:r>
        <w:t xml:space="preserve">2. Princípios da colaboração</w:t>
      </w:r>
    </w:p>
    <w:p>
      <w:pPr>
        <w:pStyle w:val="FirstParagraph"/>
      </w:pPr>
      <w:r>
        <w:t xml:space="preserve">Antes de descrever produto, escopo ou cronograma, importa fixar como a parceria é desenhada. A DPO2U é uma research house que entrega código — não uma fábrica de software nem uma consultoria. Isso define como entramos: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Autonomia preservada.</w:t>
      </w:r>
      <w:r>
        <w:t xml:space="preserve"> </w:t>
      </w:r>
      <w:r>
        <w:t xml:space="preserve">O projeto continua sendo do Paulo, sob sua autoria intelectual e jurídica. A DPO2U entra como camada de protocolo: infraestrutura, modelagem jurídica, on-chain. A camada de aplicação, integração com sistemas brasileiros e relação com o ente piloto permanece com o time dele.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Sem cobrança no piloto.</w:t>
      </w:r>
      <w:r>
        <w:t xml:space="preserve"> </w:t>
      </w:r>
      <w:r>
        <w:t xml:space="preserve">O instrumento jurídico-formal define o vínculo institucional, mas não há cobrança financeira da DPO2U pelo piloto. O valor que extraímos é o caso real — validação de mercado para o módulo Gov, primeiro estudo de caso publicável no setor público.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Reciprocidade técnica.</w:t>
      </w:r>
      <w:r>
        <w:t xml:space="preserve"> </w:t>
      </w:r>
      <w:r>
        <w:t xml:space="preserve">Predicados que o time do Paulo modelar para o caso público entram no Compliance Registry da DPO2U sob licença aberta. Oráculos que o time construir podem ficar sob ownership deles, expostos via tools MCP gov_*. Documentação técnica do que rodou no piloto vira insumo público para outros entes adotarem.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Compliance-as-protocol é o protocolo.</w:t>
      </w:r>
      <w:r>
        <w:t xml:space="preserve"> </w:t>
      </w:r>
      <w:r>
        <w:t xml:space="preserve">A DPO2U define o protocolo (schemas, contratos de tools MCP, tipos de atestação on-chain). O time do Paulo é o primeiro consumidor desse protocolo no setor público, com a vantagem de poder dialogar com o protocolo em desenho.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Velocidade pragmática.</w:t>
      </w:r>
      <w:r>
        <w:t xml:space="preserve"> </w:t>
      </w:r>
      <w:r>
        <w:t xml:space="preserve">Pilotos públicos morrem por excesso de fricção institucional. A DPO2U entra para reduzir fricção: tudo o que for arquitetura de compliance já tem resposta pronta; tudo o que for específico do caso brasileiro fica com o time do Paulo. Workshop arquitetural e definição de escopo cabem em uma semana.</w:t>
      </w:r>
    </w:p>
    <w:bookmarkEnd w:id="23"/>
    <w:bookmarkStart w:id="26" w:name="arquitetura-dpo2u-onde-gov-se-encaixa"/>
    <w:p>
      <w:pPr>
        <w:pStyle w:val="Heading2"/>
      </w:pPr>
      <w:r>
        <w:t xml:space="preserve">3. Arquitetura DPO2U — onde Gov se encaixa</w:t>
      </w:r>
    </w:p>
    <w:p>
      <w:pPr>
        <w:pStyle w:val="FirstParagraph"/>
      </w:pPr>
      <w:r>
        <w:t xml:space="preserve">A DPO2U organiza seus produtos em três módulos verticais que compartilham um core de research house. Os três módulos consomem a mesma infraestrutura — modelagem jurídica, predicados versionados, Compliance Registry, AgentRegistry, MCP server, explainability — e diferem apenas no domínio normativo coberto e, no caso do Gov, na chain de transparência.</w:t>
      </w:r>
    </w:p>
    <w:bookmarkStart w:id="24" w:name="os-três-módulos"/>
    <w:p>
      <w:pPr>
        <w:pStyle w:val="Heading3"/>
      </w:pPr>
      <w:r>
        <w:t xml:space="preserve">3.1. Os três módulos</w:t>
      </w:r>
    </w:p>
    <w:p>
      <w:pPr>
        <w:pStyle w:val="FirstParagraph"/>
      </w:pPr>
      <w:r>
        <w:rPr>
          <w:b/>
          <w:bCs/>
        </w:rPr>
        <w:t xml:space="preserve">DPO2U Enterprise.</w:t>
      </w:r>
      <w:r>
        <w:t xml:space="preserve"> </w:t>
      </w:r>
      <w:r>
        <w:t xml:space="preserve">Compliance B2B em jurisdições privadas — LGPD, GDPR, PIPEDA, FINTRAC, SOX, HIPAA, entre outras. Em produção sobre Solana (14 programas devnet, 18 manifestos legais on-chain).</w:t>
      </w:r>
    </w:p>
    <w:p>
      <w:pPr>
        <w:pStyle w:val="BodyText"/>
      </w:pPr>
      <w:r>
        <w:rPr>
          <w:b/>
          <w:bCs/>
        </w:rPr>
        <w:t xml:space="preserve">DPO2U Web3.</w:t>
      </w:r>
      <w:r>
        <w:t xml:space="preserve"> </w:t>
      </w:r>
      <w:r>
        <w:t xml:space="preserve">Compliance on-chain para protocolos DeFi, Travel Rule, sanctions screening, token issuance. Em produção sobre Solana.</w:t>
      </w:r>
    </w:p>
    <w:p>
      <w:pPr>
        <w:pStyle w:val="BodyText"/>
      </w:pPr>
      <w:r>
        <w:rPr>
          <w:b/>
          <w:bCs/>
        </w:rPr>
        <w:t xml:space="preserve">DPO2U Gov.</w:t>
      </w:r>
      <w:r>
        <w:t xml:space="preserve"> </w:t>
      </w:r>
      <w:r>
        <w:t xml:space="preserve">Compliance protocolar para Administração Pública — Lei 14.133/21, LGPD setor público, execução contratual, atos administrativos parametrizáveis.</w:t>
      </w:r>
      <w:r>
        <w:t xml:space="preserve"> </w:t>
      </w:r>
      <w:r>
        <w:rPr>
          <w:b/>
          <w:bCs/>
        </w:rPr>
        <w:t xml:space="preserve">Módulo novo, com primeiro contrato Soroban deployed em Stellar testnet em 12 de maio de 2026.</w:t>
      </w:r>
      <w:r>
        <w:t xml:space="preserve"> </w:t>
      </w:r>
      <w:r>
        <w:t xml:space="preserve">Piloto inaugural: caso Paulo.</w:t>
      </w:r>
    </w:p>
    <w:bookmarkEnd w:id="24"/>
    <w:bookmarkStart w:id="25" w:name="o-core-compartilhado"/>
    <w:p>
      <w:pPr>
        <w:pStyle w:val="Heading3"/>
      </w:pPr>
      <w:r>
        <w:t xml:space="preserve">3.2. O core compartilhado</w:t>
      </w:r>
    </w:p>
    <w:p>
      <w:pPr>
        <w:pStyle w:val="FirstParagraph"/>
      </w:pPr>
      <w:r>
        <w:t xml:space="preserve">Os três módulos consomem a mesma infraestrutura de research house: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Modelagem jurídica</w:t>
      </w:r>
      <w:r>
        <w:t xml:space="preserve"> </w:t>
      </w:r>
      <w:r>
        <w:t xml:space="preserve">— tradução de norma em predicado verificável, versionado, com referência normativa. 17 jurisdições já mapeadas; Lei 14.133/21 e LGPD setor público são adições naturais do módulo Gov.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DPO2U-MCP</w:t>
      </w:r>
      <w:r>
        <w:t xml:space="preserve"> </w:t>
      </w:r>
      <w:r>
        <w:t xml:space="preserve">— interface única com tools organizadas por namespace (enterprise, web3, gov). 70 tools em produção; namespace</w:t>
      </w:r>
      <w:r>
        <w:t xml:space="preserve"> </w:t>
      </w:r>
      <w:r>
        <w:rPr>
          <w:rStyle w:val="VerbatimChar"/>
        </w:rPr>
        <w:t xml:space="preserve">gov_*</w:t>
      </w:r>
      <w:r>
        <w:t xml:space="preserve"> </w:t>
      </w:r>
      <w:r>
        <w:t xml:space="preserve">é a extensão proposta neste piloto.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docs.dpo2u.com</w:t>
      </w:r>
      <w:r>
        <w:t xml:space="preserve"> </w:t>
      </w:r>
      <w:r>
        <w:t xml:space="preserve">— especificação técnica viva do protocolo, schemas de tools, contratos de integração, mantida pela research house.</w:t>
      </w:r>
    </w:p>
    <w:p>
      <w:pPr>
        <w:pStyle w:val="FirstParagraph"/>
      </w:pPr>
      <w:r>
        <w:t xml:space="preserve">A camada on-chain é a única que diverge por módulo:</w:t>
      </w:r>
    </w:p>
    <w:p>
      <w:pPr>
        <w:numPr>
          <w:ilvl w:val="0"/>
          <w:numId w:val="1003"/>
        </w:numPr>
      </w:pPr>
      <w:r>
        <w:t xml:space="preserve">Enterprise e Web3 rodam sobre</w:t>
      </w:r>
      <w:r>
        <w:t xml:space="preserve"> </w:t>
      </w:r>
      <w:r>
        <w:rPr>
          <w:b/>
          <w:bCs/>
        </w:rPr>
        <w:t xml:space="preserve">Solana</w:t>
      </w:r>
      <w:r>
        <w:t xml:space="preserve"> </w:t>
      </w:r>
      <w:r>
        <w:t xml:space="preserve">(custo baixíssimo, throughput alto, ecossistema DeFi maduro). Compliance Registry e AgentRegistry estão deployed em devnet com 14 programas e 18 manifestos legais.</w:t>
      </w:r>
    </w:p>
    <w:p>
      <w:pPr>
        <w:numPr>
          <w:ilvl w:val="0"/>
          <w:numId w:val="1003"/>
        </w:numPr>
      </w:pPr>
      <w:r>
        <w:t xml:space="preserve">Gov roda sobre</w:t>
      </w:r>
      <w:r>
        <w:t xml:space="preserve"> </w:t>
      </w:r>
      <w:r>
        <w:rPr>
          <w:b/>
          <w:bCs/>
        </w:rPr>
        <w:t xml:space="preserve">Stellar Soroban</w:t>
      </w:r>
      <w:r>
        <w:t xml:space="preserve"> </w:t>
      </w:r>
      <w:r>
        <w:t xml:space="preserve">(argumento institucional discutido na §9). O primeiro contrato —</w:t>
      </w:r>
      <w:r>
        <w:t xml:space="preserve"> </w:t>
      </w:r>
      <w:r>
        <w:rPr>
          <w:rStyle w:val="VerbatimChar"/>
        </w:rPr>
        <w:t xml:space="preserve">anticorruption-attestation</w:t>
      </w:r>
      <w:r>
        <w:t xml:space="preserve"> </w:t>
      </w:r>
      <w:r>
        <w:t xml:space="preserve">— está deployed em testnet desde 12 de maio de 2026, com cinco funções públicas (</w:t>
      </w:r>
      <w:r>
        <w:rPr>
          <w:rStyle w:val="VerbatimChar"/>
        </w:rPr>
        <w:t xml:space="preserve">configure_use_case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authorize_submitter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register_attestation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verify_attestation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e duas atestações reais já ancoradas durante a fase de demonstração.</w:t>
      </w:r>
    </w:p>
    <w:p>
      <w:pPr>
        <w:pStyle w:val="FirstParagraph"/>
      </w:pPr>
      <w:r>
        <w:t xml:space="preserve">A divergência de chain entre módulos é uma escolha deliberada, não um acidente. Cada chain serve melhor a um público diferente. A §9 desenvolve o argumento institucional para Stellar no caso público.</w:t>
      </w:r>
    </w:p>
    <w:bookmarkEnd w:id="25"/>
    <w:bookmarkEnd w:id="26"/>
    <w:bookmarkStart w:id="28" w:name="divisão-de-responsabilidades-no-piloto"/>
    <w:p>
      <w:pPr>
        <w:pStyle w:val="Heading2"/>
      </w:pPr>
      <w:r>
        <w:t xml:space="preserve">4. Divisão de responsabilidades no piloto</w:t>
      </w:r>
    </w:p>
    <w:p>
      <w:pPr>
        <w:pStyle w:val="FirstParagraph"/>
      </w:pPr>
      <w:r>
        <w:t xml:space="preserve">O ponto crítico da colaboração é a separação clara entre o que a DPO2U entrega como camada de protocolo e o que o time do Paulo entrega como camada de aplicação no caso brasileiro real: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23"/>
        <w:gridCol w:w="4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DPO2U entrega — protocolo de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Paulo entrega — aplicação no caso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Modelagem jurídica completa: Lei 14.133/21 e LGPD setor público traduzidas em predicados versionados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do servidor público: submissão documental, dashboard de fluxo, painel de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Registry e AgentRegistry em</w:t>
            </w:r>
            <w:r>
              <w:t xml:space="preserve"> </w:t>
            </w:r>
            <w:r>
              <w:rPr>
                <w:b/>
                <w:bCs/>
              </w:rPr>
              <w:t xml:space="preserve">Stellar (contrato Soroban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anticorruption-attestation</w:t>
            </w:r>
            <w:r>
              <w:rPr>
                <w:b/>
                <w:bCs/>
              </w:rPr>
              <w:t xml:space="preserve">, testnet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CC4TJGDR…ZHM5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Oráculos para fontes oficiais brasileiras: CEIS, CNEP, SIAFI, gov.br, Receita, Caixa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DPO2U-MCP-Gov: tools</w:t>
            </w:r>
            <w:r>
              <w:t xml:space="preserve"> </w:t>
            </w:r>
            <w:r>
              <w:rPr>
                <w:rStyle w:val="VerbatimChar"/>
              </w:rPr>
              <w:t xml:space="preserve">gov_*</w:t>
            </w:r>
            <w:r>
              <w:t xml:space="preserve"> </w:t>
            </w:r>
            <w:r>
              <w:t xml:space="preserve">expondo predicados, atestações, registro on-chain e 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com sistema de pagamento do ente piloto: SIAFI, SIAFEM ou sistema municipal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Atestações verificáveis e trilha auditável para controle externo (TCU, CGU, 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institucional com o ente piloto e operação em 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Especificação técnica viva em docs.dpo2u.com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Fundamentação jurídica em campo, eventual paper acadêmico próprio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Suporte técnico contínuo durante o 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Calibração do uso das tools MCP-Gov para o universo documental do ente</w:t>
            </w:r>
          </w:p>
        </w:tc>
      </w:tr>
    </w:tbl>
    <w:bookmarkStart w:id="27" w:name="como-os-dois-lados-se-conectam"/>
    <w:p>
      <w:pPr>
        <w:pStyle w:val="Heading3"/>
      </w:pPr>
      <w:r>
        <w:t xml:space="preserve">4.1. Como os dois lados se conectam</w:t>
      </w:r>
    </w:p>
    <w:p>
      <w:pPr>
        <w:pStyle w:val="FirstParagraph"/>
      </w:pPr>
      <w:r>
        <w:t xml:space="preserve">O ponto de contato técnico é o</w:t>
      </w:r>
      <w:r>
        <w:t xml:space="preserve"> </w:t>
      </w:r>
      <w:r>
        <w:rPr>
          <w:b/>
          <w:bCs/>
        </w:rPr>
        <w:t xml:space="preserve">DPO2U-MCP-Gov</w:t>
      </w:r>
      <w:r>
        <w:t xml:space="preserve">: servidor MCP que expõe tools</w:t>
      </w:r>
      <w:r>
        <w:t xml:space="preserve"> </w:t>
      </w:r>
      <w:r>
        <w:rPr>
          <w:rStyle w:val="VerbatimChar"/>
        </w:rPr>
        <w:t xml:space="preserve">gov_*</w:t>
      </w:r>
      <w:r>
        <w:t xml:space="preserve"> </w:t>
      </w:r>
      <w:r>
        <w:t xml:space="preserve">consumidas pelo cliente IA do ente público. O cliente IA, que vive no ambiente do ente, é orquestrador — recebe documentos do servidor, decide consultas a oráculos, chama tools MCP-Gov para verificar predicados, recebe veredito e registra atestação on-chain. O fluxo de operação detalhado está no Anexo A.3.</w:t>
      </w:r>
    </w:p>
    <w:p>
      <w:pPr>
        <w:pStyle w:val="BodyText"/>
      </w:pPr>
      <w:r>
        <w:t xml:space="preserve">A separação tem efeito prático: o time do Paulo nunca precisa tocar em Stellar, Soroban, smart contract ou trilha on-chain. Tudo isso é abstraído pelas tools MCP. O time consome chamadas, recebe respostas estruturadas. Idem para a DPO2U: nunca precisa entender como SEI, SIAFI ou gov.br se comportam em cada município. Cada lado opera na sua superfície técnica.</w:t>
      </w:r>
    </w:p>
    <w:bookmarkEnd w:id="27"/>
    <w:bookmarkEnd w:id="28"/>
    <w:bookmarkStart w:id="29" w:name="o-que-muda-para-o-time-do-paulo"/>
    <w:p>
      <w:pPr>
        <w:pStyle w:val="Heading2"/>
      </w:pPr>
      <w:r>
        <w:t xml:space="preserve">5. O que muda para o time do Paulo</w:t>
      </w:r>
    </w:p>
    <w:p>
      <w:pPr>
        <w:pStyle w:val="FirstParagraph"/>
      </w:pPr>
      <w:r>
        <w:t xml:space="preserve">Concretamente, o que as duas desenvolvedoras dele recebem ao adotar DPO2U-Gov como infraestrutura: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Tempo.</w:t>
      </w:r>
      <w:r>
        <w:t xml:space="preserve"> </w:t>
      </w:r>
      <w:r>
        <w:t xml:space="preserve">Não precisam construir Compliance Registry, AgentRegistry, motor de predicados, atestações on-chain, integração com Stellar, camada MCP, modelagem jurídica da Lei 14.133 e LGPD setor público. Tudo isso é consumido pronto.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Auditabilidade pronta.</w:t>
      </w:r>
      <w:r>
        <w:t xml:space="preserve"> </w:t>
      </w:r>
      <w:r>
        <w:t xml:space="preserve">TCU, CGU e Ministério Público vão querer ver trilha auditável e explicabilidade. Isso já está implementado e em produção em outros módulos da DPO2U. No módulo Gov, a verificação independente já é demonstrável via CLI público</w:t>
      </w:r>
      <w:r>
        <w:t xml:space="preserve"> </w:t>
      </w:r>
      <w:r>
        <w:rPr>
          <w:rStyle w:val="VerbatimChar"/>
        </w:rPr>
        <w:t xml:space="preserve">dpo2u-attest verify &lt;use_case&gt; &lt;evidence_hash&gt;</w:t>
      </w:r>
      <w:r>
        <w:t xml:space="preserve"> </w:t>
      </w:r>
      <w:r>
        <w:t xml:space="preserve">que lê on-chain sem credencial — qualquer auditor externo reproduz da máquina dele.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On-chain de custo institucional.</w:t>
      </w:r>
      <w:r>
        <w:t xml:space="preserve"> </w:t>
      </w:r>
      <w:r>
        <w:t xml:space="preserve">Stellar oferece custo de transação compatível com volume público (~0,00001 XLM, frações de centavo de centavo) e finalidade rápida — crítico para fluxo de ateste a pagamento. E mais: é a chain pública usada por instituições financeiras reguladas (MoneyGram, Circle/USDC, IBM World Wire), com track record de 12+ anos de operação contínua sem incidentes catastróficos. O argumento institucional é mais sólido do que com Solana.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Foco no que ninguém mais pode fazer.</w:t>
      </w:r>
      <w:r>
        <w:t xml:space="preserve"> </w:t>
      </w:r>
      <w:r>
        <w:t xml:space="preserve">As duas devs concentram esforço onde têm domínio insubstituível: UI/UX que o servidor público vai operar, oráculos calibrados para APIs oficiais brasileiras, integração com sistemas legados de pagamento.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Suporte técnico contínuo.</w:t>
      </w:r>
      <w:r>
        <w:t xml:space="preserve"> </w:t>
      </w:r>
      <w:r>
        <w:t xml:space="preserve">Acesso direto à equipe técnica da DPO2U para discussão de arquitetura, code review nos pontos de integração, debugging conjunto quando necessário.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Posicionamento na suíte DPO2U.</w:t>
      </w:r>
      <w:r>
        <w:t xml:space="preserve"> </w:t>
      </w:r>
      <w:r>
        <w:t xml:space="preserve">O piloto é caso inaugural do módulo Gov, mencionado em docs.dpo2u.com, materiais de comunicação e narrativa pública da casa.</w:t>
      </w:r>
    </w:p>
    <w:bookmarkEnd w:id="29"/>
    <w:bookmarkStart w:id="30" w:name="o-que-muda-para-a-dpo2u"/>
    <w:p>
      <w:pPr>
        <w:pStyle w:val="Heading2"/>
      </w:pPr>
      <w:r>
        <w:t xml:space="preserve">6. O que muda para a DPO2U</w:t>
      </w:r>
    </w:p>
    <w:p>
      <w:pPr>
        <w:pStyle w:val="FirstParagraph"/>
      </w:pPr>
      <w:r>
        <w:t xml:space="preserve">A DPO2U ganha o que toda research house precisa para validar uma vertical nova: um caso real, com time dedicado, em domínio relevante (administração pública brasileira), executado em parceria com um pesquisador-praticante do direito público. O DPO2U-Gov nasce com piloto inaugural, em vez de nascer especulativamente.</w:t>
      </w:r>
    </w:p>
    <w:p>
      <w:pPr>
        <w:pStyle w:val="BodyText"/>
      </w:pPr>
      <w:r>
        <w:t xml:space="preserve">O módulo passa a fazer parte da suíte oficial da DPO2U, ao lado do core Enterprise e Web3, com posicionamento, documentação técnica em docs.dpo2u.com e roadmap próprios. A escolha de Stellar como chain do módulo Gov consolida uma estratégia multi-chain explícita: cada vertical regulatória adota a chain que melhor sustenta seu argumento institucional.</w:t>
      </w:r>
    </w:p>
    <w:bookmarkEnd w:id="30"/>
    <w:bookmarkStart w:id="34" w:name="estratégia-de-adoção-em-três-níveis"/>
    <w:p>
      <w:pPr>
        <w:pStyle w:val="Heading2"/>
      </w:pPr>
      <w:r>
        <w:t xml:space="preserve">7. Estratégia de adoção em três níveis</w:t>
      </w:r>
    </w:p>
    <w:p>
      <w:pPr>
        <w:pStyle w:val="FirstParagraph"/>
      </w:pPr>
      <w:r>
        <w:t xml:space="preserve">A adoção do DPO2U-Gov por um ente público obedece a três níveis de profundidade institucional, com risco operacional crescente. O piloto começa rigorosamente no Nível 1.</w:t>
      </w:r>
    </w:p>
    <w:bookmarkStart w:id="31" w:name="X56c6f5223243381f6fd09dbb3d16b8019d03b15"/>
    <w:p>
      <w:pPr>
        <w:pStyle w:val="Heading3"/>
      </w:pPr>
      <w:r>
        <w:t xml:space="preserve">7.1. Nível 1 — Observador (entrega imediata, 90 dias)</w:t>
      </w:r>
    </w:p>
    <w:p>
      <w:pPr>
        <w:pStyle w:val="FirstParagraph"/>
      </w:pPr>
      <w:r>
        <w:t xml:space="preserve">DPO2U-Gov roda em paralelo aos sistemas oficiais do ente, sem integração. O servidor submete cópia de documentos numa interface separada construída pela equipe do Paulo; o cliente IA orquestra extração documental via tools MCP-Gov; o motor de predicados verifica conformidade; atestações são registradas em</w:t>
      </w:r>
      <w:r>
        <w:t xml:space="preserve"> </w:t>
      </w:r>
      <w:r>
        <w:rPr>
          <w:b/>
          <w:bCs/>
        </w:rPr>
        <w:t xml:space="preserve">Stellar testnet</w:t>
      </w:r>
      <w:r>
        <w:t xml:space="preserve"> </w:t>
      </w:r>
      <w:r>
        <w:t xml:space="preserve">(e em produção, mainnet); relatório consultivo auditável é emitido. O processo oficial segue paralelamente sem mudança.</w:t>
      </w:r>
    </w:p>
    <w:p>
      <w:pPr>
        <w:pStyle w:val="BodyText"/>
      </w:pPr>
      <w:r>
        <w:rPr>
          <w:b/>
          <w:bCs/>
        </w:rPr>
        <w:t xml:space="preserve">Vantagens.</w:t>
      </w:r>
      <w:r>
        <w:t xml:space="preserve"> </w:t>
      </w:r>
      <w:r>
        <w:t xml:space="preserve">Zero risco operacional. Não toca em SEI, ERP ou sistema financeiro do ente. Demonstra valor sem exigir mudança de processo institucional. Permite que o controle interno faça comparação direta entre o fluxo manual existente e o fluxo auditado pela DPO2U-Gov, sem dependência.</w:t>
      </w:r>
    </w:p>
    <w:p>
      <w:pPr>
        <w:pStyle w:val="BodyText"/>
      </w:pPr>
      <w:r>
        <w:rPr>
          <w:b/>
          <w:bCs/>
        </w:rPr>
        <w:t xml:space="preserve">Critérios de sucesso.</w:t>
      </w:r>
      <w:r>
        <w:t xml:space="preserve"> </w:t>
      </w:r>
      <w:r>
        <w:t xml:space="preserve">Concordância entre relatório consultivo DPO2U-Gov e parecer manual do controle interno acima de 95% nos casos analisados; tempo médio de geração do relatório abaixo de cinco minutos por processo; zero incidentes operacionais.</w:t>
      </w:r>
    </w:p>
    <w:p>
      <w:pPr>
        <w:pStyle w:val="BodyText"/>
      </w:pPr>
      <w:r>
        <w:rPr>
          <w:b/>
          <w:bCs/>
        </w:rPr>
        <w:t xml:space="preserve">Prova reproduzível já existente.</w:t>
      </w:r>
      <w:r>
        <w:t xml:space="preserve"> </w:t>
      </w:r>
      <w:r>
        <w:t xml:space="preserve">O fluxo Nível 1 está demonstrado end-to-end em testnet via o script</w:t>
      </w:r>
      <w:r>
        <w:t xml:space="preserve"> </w:t>
      </w:r>
      <w:r>
        <w:rPr>
          <w:rStyle w:val="VerbatimChar"/>
        </w:rPr>
        <w:t xml:space="preserve">scripts/demo-pilot-marica-fluxo-completo.sh</w:t>
      </w:r>
      <w:r>
        <w:t xml:space="preserve"> </w:t>
      </w:r>
      <w:r>
        <w:t xml:space="preserve">do repositório</w:t>
      </w:r>
      <w:r>
        <w:t xml:space="preserve"> </w:t>
      </w:r>
      <w:r>
        <w:rPr>
          <w:rStyle w:val="VerbatimChar"/>
        </w:rPr>
        <w:t xml:space="preserve">dpo2u-stellar</w:t>
      </w:r>
      <w:r>
        <w:t xml:space="preserve">. Duas atestações reais ancoradas em 18 de maio de 2026 (uma PASS, uma FAIL), com tx hashes públicos verificáveis em Stellar Expert. Detalhes técnicos no Anexo G.</w:t>
      </w:r>
    </w:p>
    <w:bookmarkEnd w:id="31"/>
    <w:bookmarkStart w:id="32" w:name="Xaef99e70b347d46b428d1c047b8061173a6f8ed"/>
    <w:p>
      <w:pPr>
        <w:pStyle w:val="Heading3"/>
      </w:pPr>
      <w:r>
        <w:t xml:space="preserve">7.2. Nível 2 — Consultor (próxima fase, ativada quando oráculos brasileiros estiverem maduros)</w:t>
      </w:r>
    </w:p>
    <w:p>
      <w:pPr>
        <w:pStyle w:val="FirstParagraph"/>
      </w:pPr>
      <w:r>
        <w:t xml:space="preserve">DPO2U-Gov se integra read-only ao SEI via API. Quando um processo de pagamento é instaurado no SEI, o sistema lê documentos automaticamente, consulta oráculos brasileiros (CEIS, CNEP, Receita, Caixa, gov.br) e emite parecer auditável que vai junto do processo eletrônico. O servidor decide se segue. Atestação on-chain de cada parecer.</w:t>
      </w:r>
    </w:p>
    <w:p>
      <w:pPr>
        <w:pStyle w:val="BodyText"/>
      </w:pPr>
      <w:r>
        <w:rPr>
          <w:b/>
          <w:bCs/>
        </w:rPr>
        <w:t xml:space="preserve">Vantagens.</w:t>
      </w:r>
      <w:r>
        <w:t xml:space="preserve"> </w:t>
      </w:r>
      <w:r>
        <w:t xml:space="preserve">Servidor não digita nada. Trilha auditável completa para TCE-SC e MP. Oráculos sob ownership da equipe do Paulo permitem consultas automatizadas sem ônus operacional para o servidor.</w:t>
      </w:r>
    </w:p>
    <w:p>
      <w:pPr>
        <w:pStyle w:val="BodyText"/>
      </w:pPr>
      <w:r>
        <w:rPr>
          <w:b/>
          <w:bCs/>
        </w:rPr>
        <w:t xml:space="preserve">Pré-requisito.</w:t>
      </w:r>
      <w:r>
        <w:t xml:space="preserve"> </w:t>
      </w:r>
      <w:r>
        <w:t xml:space="preserve">Nível 1 maduro e validado pelo controle interno; oráculos brasileiros prioritários (CEIS, CNEP, Receita) em produção; instrumento jurídico-formal definido.</w:t>
      </w:r>
    </w:p>
    <w:bookmarkEnd w:id="32"/>
    <w:bookmarkStart w:id="33" w:name="nível-3-gate-must-have-do-roadmap-futuro"/>
    <w:p>
      <w:pPr>
        <w:pStyle w:val="Heading3"/>
      </w:pPr>
      <w:r>
        <w:t xml:space="preserve">7.3. Nível 3 — Gate (must-have do roadmap futuro)</w:t>
      </w:r>
    </w:p>
    <w:p>
      <w:pPr>
        <w:pStyle w:val="FirstParagraph"/>
      </w:pPr>
      <w:r>
        <w:t xml:space="preserve">DPO2U-Gov se integra ao ERP municipal e bloqueia preventivamente a transição de liquidação para pagamento autorizado quando predicados não são satisfeitos. O servidor competente recebe alerta e pode (i) corrigir, (ii) justificar e prosseguir com registro auditável de override, ou (iii) escalar.</w:t>
      </w:r>
    </w:p>
    <w:p>
      <w:pPr>
        <w:pStyle w:val="BodyText"/>
      </w:pPr>
      <w:r>
        <w:rPr>
          <w:b/>
          <w:bCs/>
        </w:rPr>
        <w:t xml:space="preserve">Posicionamento.</w:t>
      </w:r>
      <w:r>
        <w:t xml:space="preserve"> </w:t>
      </w:r>
      <w:r>
        <w:t xml:space="preserve">Roadmap futuro, não escopo de piloto. Apresentado para que o ente público enxergue onde a história chega, mas não é proposta na primeira conversa. Exige maturidade técnica, validação jurídica e maturidade institucional que só Nível 1 e 2 produzem.</w:t>
      </w:r>
    </w:p>
    <w:bookmarkEnd w:id="33"/>
    <w:bookmarkEnd w:id="34"/>
    <w:bookmarkStart w:id="39" w:name="casos-de-uso-do-piloto"/>
    <w:p>
      <w:pPr>
        <w:pStyle w:val="Heading2"/>
      </w:pPr>
      <w:r>
        <w:t xml:space="preserve">8. Casos de uso do piloto</w:t>
      </w:r>
    </w:p>
    <w:p>
      <w:pPr>
        <w:pStyle w:val="FirstParagraph"/>
      </w:pPr>
      <w:r>
        <w:t xml:space="preserve">A escolha do caso de uso de entrada para o Nível 1 é estratégica. Pagamento de fornecedor após nota fiscal é o candidato natural mas tem dois problemas para um primeiro piloto: volume alto, variação documental grande entre secretarias, e sensibilidade política (qualquer atraso é percebido como obstáculo).</w:t>
      </w:r>
    </w:p>
    <w:p>
      <w:pPr>
        <w:pStyle w:val="BodyText"/>
      </w:pPr>
      <w:r>
        <w:t xml:space="preserve">A DPO2U-Gov recomenda, como caso de uso de entrada, a</w:t>
      </w:r>
      <w:r>
        <w:t xml:space="preserve"> </w:t>
      </w:r>
      <w:r>
        <w:rPr>
          <w:b/>
          <w:bCs/>
        </w:rPr>
        <w:t xml:space="preserve">alteração de dados bancários de fornecedor</w:t>
      </w:r>
      <w:r>
        <w:t xml:space="preserve"> </w:t>
      </w:r>
      <w:r>
        <w:t xml:space="preserve">— caso de uso com perfil ideal para Nível 1.</w:t>
      </w:r>
    </w:p>
    <w:bookmarkStart w:id="35" w:name="X721447594d0a32e07435b9bb30982f5fd749854"/>
    <w:p>
      <w:pPr>
        <w:pStyle w:val="Heading3"/>
      </w:pPr>
      <w:r>
        <w:t xml:space="preserve">8.1. Caso de entrada — alteração de dados bancários</w:t>
      </w:r>
    </w:p>
    <w:p>
      <w:pPr>
        <w:pStyle w:val="FirstParagraph"/>
      </w:pPr>
      <w:r>
        <w:t xml:space="preserve">Toda alteração de conta bancária de fornecedor passa por verificação de predicados rigorosos: solicitação assinada digitalmente pelo representante legal do fornecedor, comprovação de titularidade da nova conta, conferência de CNPJ, validação contra cadastro do fornecedor no ente público, verificação de sanções (CEIS, CNEP) e regularidade fiscal.</w:t>
      </w:r>
    </w:p>
    <w:p>
      <w:pPr>
        <w:pStyle w:val="BodyText"/>
      </w:pPr>
      <w:r>
        <w:rPr>
          <w:b/>
          <w:bCs/>
        </w:rPr>
        <w:t xml:space="preserve">Por que esse caso funciona melhor como entrada.</w:t>
      </w:r>
      <w:r>
        <w:t xml:space="preserve"> </w:t>
      </w:r>
      <w:r>
        <w:t xml:space="preserve">Volume baixo (algumas dezenas de alterações por mês) reduz complexidade operacional do piloto. Risco enorme — é exatamente o vetor de fraude que causou o desvio de R$5,5 milhões no TJDFT em 2024, vulnerabilidade reconhecida em toda Procuradoria e Controladoria. Predicados claros e verificáveis objetivamente. Defensabilidade política máxima: é proteção, não substituição. Ganho concreto e mensurável: o ente piloto torna-se referência nacional em proteção rastreável contra fraude de troca bancária.</w:t>
      </w:r>
    </w:p>
    <w:p>
      <w:pPr>
        <w:pStyle w:val="BodyText"/>
      </w:pPr>
      <w:r>
        <w:rPr>
          <w:b/>
          <w:bCs/>
        </w:rPr>
        <w:t xml:space="preserve">Estado atual da implementação.</w:t>
      </w:r>
      <w:r>
        <w:t xml:space="preserve"> </w:t>
      </w:r>
      <w:r>
        <w:t xml:space="preserve">O use case</w:t>
      </w:r>
      <w:r>
        <w:t xml:space="preserve"> </w:t>
      </w:r>
      <w:r>
        <w:rPr>
          <w:rStyle w:val="VerbatimChar"/>
        </w:rPr>
        <w:t xml:space="preserve">bank_chg</w:t>
      </w:r>
      <w:r>
        <w:t xml:space="preserve"> </w:t>
      </w:r>
      <w:r>
        <w:t xml:space="preserve">está implementado em testnet com cinco predicates determinísticos: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3484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cnpj_match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 do fornecedor confere com titular da nova conta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official_channel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Solicitação veio pelo canal oficial do 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sender_domain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 do email remetente bate com o domínio municipal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ISPB da nova conta está na lista de instituições reguladas pelo BCB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no_recent_change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mudança de conta foi há mais de 90 dias</w:t>
            </w:r>
          </w:p>
        </w:tc>
      </w:tr>
    </w:tbl>
    <w:p>
      <w:pPr>
        <w:pStyle w:val="BodyText"/>
      </w:pPr>
      <w:r>
        <w:t xml:space="preserve">Avaliação ocorre off-chain (motor determinístico em TypeScript, gateway DPO2U), e apenas o veredito agregado e os hashes da evidência + metadata são registrados on-chain via</w:t>
      </w:r>
      <w:r>
        <w:t xml:space="preserve"> </w:t>
      </w:r>
      <w:r>
        <w:rPr>
          <w:rStyle w:val="VerbatimChar"/>
        </w:rPr>
        <w:t xml:space="preserve">register_attestation</w:t>
      </w:r>
      <w:r>
        <w:t xml:space="preserve">. Idempotência por</w:t>
      </w:r>
      <w:r>
        <w:t xml:space="preserve"> </w:t>
      </w:r>
      <w:r>
        <w:rPr>
          <w:rStyle w:val="VerbatimChar"/>
        </w:rPr>
        <w:t xml:space="preserve">evidence_hash</w:t>
      </w:r>
      <w:r>
        <w:t xml:space="preserve"> </w:t>
      </w:r>
      <w:r>
        <w:t xml:space="preserve">impede dupla ancoragem da mesma operação real.</w:t>
      </w:r>
    </w:p>
    <w:bookmarkEnd w:id="35"/>
    <w:bookmarkStart w:id="36" w:name="X19756e341e75549d8be33b7a99d810330cc1b4e"/>
    <w:p>
      <w:pPr>
        <w:pStyle w:val="Heading3"/>
      </w:pPr>
      <w:r>
        <w:t xml:space="preserve">8.2. Caso de expansão — pagamento de fornecedor por documento textual</w:t>
      </w:r>
    </w:p>
    <w:p>
      <w:pPr>
        <w:pStyle w:val="FirstParagraph"/>
      </w:pPr>
      <w:r>
        <w:t xml:space="preserve">Núcleo originalmente proposto no projeto do Paulo, ativado após sucesso do caso de entrada. Fluxo: o servidor submete documentos referentes a uma fase de execução contratual; o cliente IA orquestra extração e validação; oráculos consultam fontes oficiais quando aplicável; tools MCP-Gov validam contra predicados; se todos forem satisfeitos, o estado avança e o efeito (autorização para pagamento) é registrado on-chain; senão, o fluxo é bloqueado e o servidor recebe explicação em linguagem simples.</w:t>
      </w:r>
    </w:p>
    <w:p>
      <w:pPr>
        <w:pStyle w:val="BodyText"/>
      </w:pPr>
      <w:r>
        <w:t xml:space="preserve">Importante: a DPO2U-Gov não autoriza pagamento — autoriza a transição de estado que habilita o sistema de pagamento do ente público a prosseguir. Há separação rígida entre três camadas: autorização para pagar (DPO2U-Gov), ordem de pagamento (ato administrativo indelegável do ordenador, nos termos da Lei 4.320/64 art. 64), e liquidação financeira (saída de recursos da conta única do tesouro pelo Banco do Brasil).</w:t>
      </w:r>
    </w:p>
    <w:bookmarkEnd w:id="36"/>
    <w:bookmarkStart w:id="37" w:name="X3b43a567d5117aee3901ba0921df4a8c10fe333"/>
    <w:p>
      <w:pPr>
        <w:pStyle w:val="Heading3"/>
      </w:pPr>
      <w:r>
        <w:t xml:space="preserve">8.3. Tipos contratuais cobertos no piloto de Nível 1</w:t>
      </w:r>
    </w:p>
    <w:p>
      <w:pPr>
        <w:pStyle w:val="FirstParagraph"/>
      </w:pPr>
      <w:r>
        <w:t xml:space="preserve">Recomendação: começar pelo caso de alteração bancária aplicado a todos os fornecedores ativos do ente piloto. Volume controlado, alta defensabilidade, baixa variação documental. Expansão posterior para classes de contrato de baixo risco e alta repetibilidade — manutenção predial, locação de equipamentos, serviços continuados — seguindo critério de validação institucional.</w:t>
      </w:r>
    </w:p>
    <w:bookmarkEnd w:id="37"/>
    <w:bookmarkStart w:id="38" w:name="fora-do-escopo-do-piloto"/>
    <w:p>
      <w:pPr>
        <w:pStyle w:val="Heading3"/>
      </w:pPr>
      <w:r>
        <w:t xml:space="preserve">8.4. Fora do escopo do piloto</w:t>
      </w:r>
    </w:p>
    <w:p>
      <w:pPr>
        <w:pStyle w:val="FirstParagraph"/>
      </w:pPr>
      <w:r>
        <w:t xml:space="preserve">Atos administrativos não-contratuais, contratos complexos com múltiplas fases sobrepostas, processos sancionatórios, decisões discricionárias do gestor público. Visão computacional, cooperação jurídica internacional e provas de conhecimento zero ficam como roadmap futuro do módulo, não como escopo de piloto.</w:t>
      </w:r>
    </w:p>
    <w:bookmarkEnd w:id="38"/>
    <w:bookmarkEnd w:id="39"/>
    <w:bookmarkStart w:id="40" w:name="Xdcb096588836bf909f7e2718537ccaefe78a9c4"/>
    <w:p>
      <w:pPr>
        <w:pStyle w:val="Heading2"/>
      </w:pPr>
      <w:r>
        <w:t xml:space="preserve">9. Stellar como camada de transparência institucional</w:t>
      </w:r>
    </w:p>
    <w:p>
      <w:pPr>
        <w:pStyle w:val="FirstParagraph"/>
      </w:pPr>
      <w:r>
        <w:t xml:space="preserve">A escolha de</w:t>
      </w:r>
      <w:r>
        <w:t xml:space="preserve"> </w:t>
      </w:r>
      <w:r>
        <w:rPr>
          <w:b/>
          <w:bCs/>
        </w:rPr>
        <w:t xml:space="preserve">Stellar Soroban</w:t>
      </w:r>
      <w:r>
        <w:t xml:space="preserve"> </w:t>
      </w:r>
      <w:r>
        <w:t xml:space="preserve">como camada de registro on-chain do módulo Gov é apresentada explicitamente ao ente público como feature de transparência institucional, não como detalhe técnico escondido. A v0.4 deste documento propunha Solana; a v0.5 reflete a escolha implementada após análise institucional aprofundada e o primeiro deploy real em testnet. Cinco argumentos sustentam a posição:</w:t>
      </w:r>
    </w:p>
    <w:p>
      <w:pPr>
        <w:pStyle w:val="BodyText"/>
      </w:pPr>
      <w:r>
        <w:rPr>
          <w:b/>
          <w:bCs/>
        </w:rPr>
        <w:t xml:space="preserve">Imutabilidade auditável.</w:t>
      </w:r>
      <w:r>
        <w:t xml:space="preserve"> </w:t>
      </w:r>
      <w:r>
        <w:t xml:space="preserve">Uma vez registrada, a atestação não pode ser alterada por administrador do sistema, nem por ataque interno, nem por mudança de gestão. TCE, CGM, MP e cidadão podem auditar a qualquer momento, sem depender de cooperação ativa do ente público auditado. Esse argumento é independente da chain — qualquer blockchain pública o atende.</w:t>
      </w:r>
    </w:p>
    <w:p>
      <w:pPr>
        <w:pStyle w:val="BodyText"/>
      </w:pPr>
      <w:r>
        <w:rPr>
          <w:b/>
          <w:bCs/>
        </w:rPr>
        <w:t xml:space="preserve">Custo de transação institucional.</w:t>
      </w:r>
      <w:r>
        <w:t xml:space="preserve"> </w:t>
      </w:r>
      <w:r>
        <w:t xml:space="preserve">Em Stellar mainnet, cada atestação custa frações de centavo de centavo (cerca de 0,00001 XLM, alguns micro-dólares por transação). Não há restrição orçamentária para registrar tudo o que importa. Volume público de atestações torna-se compatível com qualquer orçamento municipal.</w:t>
      </w:r>
    </w:p>
    <w:p>
      <w:pPr>
        <w:pStyle w:val="BodyText"/>
      </w:pPr>
      <w:r>
        <w:rPr>
          <w:b/>
          <w:bCs/>
        </w:rPr>
        <w:t xml:space="preserve">Independência de fornecedor.</w:t>
      </w:r>
      <w:r>
        <w:t xml:space="preserve"> </w:t>
      </w:r>
      <w:r>
        <w:t xml:space="preserve">O registro existe em rede pública descentralizada, sem depender da DPO2U continuar existindo. Se a parceria terminar por qualquer razão, o histórico permanece auditável e verificável. É o oposto de vendor lock-in — é compromisso explícito de continuidade institucional. Esse ponto merece destaque: gestores públicos têm trauma legítimo de dependência de fornecedor. Apresentar o registro on-chain como garantia de continuidade institucional, e não como amarra técnica, é argumento que ressoa em Procuradoria, Controladoria e Secretaria de Tecnologia.</w:t>
      </w:r>
    </w:p>
    <w:p>
      <w:pPr>
        <w:pStyle w:val="BodyText"/>
      </w:pPr>
      <w:r>
        <w:rPr>
          <w:b/>
          <w:bCs/>
        </w:rPr>
        <w:t xml:space="preserve">Posicionamento institucional da chain.</w:t>
      </w:r>
      <w:r>
        <w:t xml:space="preserve"> </w:t>
      </w:r>
      <w:r>
        <w:t xml:space="preserve">Stellar tem 12+ anos de operação contínua, sem incidentes catastróficos, sem halts não programados de mainnet, sem associação histórica com NFTs especulativos ou memecoins. A rede é usada em produção por MoneyGram (remessas globais), Circle (emissão de USDC), IBM World Wire, plataformas reguladas de remessa internacional. A Stellar Development Foundation é organização sem fins lucrativos, com governança documentada e relação institucional com reguladores em múltiplas jurisdições. Apresentar Stellar para Procuradoria e Controladoria é uma conversa muito mais curta do que apresentar Solana — o que importa em piloto público, onde fricção institucional mata projetos.</w:t>
      </w:r>
    </w:p>
    <w:p>
      <w:pPr>
        <w:pStyle w:val="BodyText"/>
      </w:pPr>
      <w:r>
        <w:rPr>
          <w:b/>
          <w:bCs/>
        </w:rPr>
        <w:t xml:space="preserve">Verificação trustless já entregue.</w:t>
      </w:r>
      <w:r>
        <w:t xml:space="preserve"> </w:t>
      </w:r>
      <w:r>
        <w:t xml:space="preserve">O contrato</w:t>
      </w:r>
      <w:r>
        <w:t xml:space="preserve"> </w:t>
      </w:r>
      <w:r>
        <w:rPr>
          <w:rStyle w:val="VerbatimChar"/>
        </w:rPr>
        <w:t xml:space="preserve">anticorruption-attestation</w:t>
      </w:r>
      <w:r>
        <w:t xml:space="preserve"> </w:t>
      </w:r>
      <w:r>
        <w:t xml:space="preserve">em testnet já tem SDK público (</w:t>
      </w:r>
      <w:r>
        <w:rPr>
          <w:rStyle w:val="VerbatimChar"/>
        </w:rPr>
        <w:t xml:space="preserve">@dpo2u/stellar-sdk</w:t>
      </w:r>
      <w:r>
        <w:t xml:space="preserve">) e CLI (</w:t>
      </w:r>
      <w:r>
        <w:rPr>
          <w:rStyle w:val="VerbatimChar"/>
        </w:rPr>
        <w:t xml:space="preserve">dpo2u-attest verify</w:t>
      </w:r>
      <w:r>
        <w:t xml:space="preserve">) que permite a qualquer auditor externo ler uma atestação on-chain sem credencial, sem cooperação do município, sem servidor próprio. Em 18 de maio de 2026, esse fluxo foi demonstrado end-to-end com duas atestações reais (uma PASS e uma FAIL), com vídeo institucional gravado e documentação reproduzível em três comandos. Detalhes no Anexo G.</w:t>
      </w:r>
    </w:p>
    <w:p>
      <w:pPr>
        <w:pStyle w:val="BodyText"/>
      </w:pPr>
      <w:r>
        <w:t xml:space="preserve">A escolha de Stellar não é religião de chain. É escolha pragmática para um módulo cujo público primário — gestor público, controle interno, controle externo, Ministério Público — não compartilha o vocabulário e a tolerância a risco do público cripto-native. A chain é parte da entrega institucional, não detalhe técnico.</w:t>
      </w:r>
    </w:p>
    <w:bookmarkEnd w:id="40"/>
    <w:bookmarkStart w:id="41" w:name="fases-e-cronograma-indicativo"/>
    <w:p>
      <w:pPr>
        <w:pStyle w:val="Heading2"/>
      </w:pPr>
      <w:r>
        <w:t xml:space="preserve">10. Fases e cronograma indicativo</w:t>
      </w:r>
    </w:p>
    <w:p>
      <w:pPr>
        <w:pStyle w:val="FirstParagraph"/>
      </w:pPr>
      <w:r>
        <w:t xml:space="preserve">Cronograma indicativo para entrega do Nível 1 (Observador) em 90 dias, sujeito a ajuste após alinhamento com o ente público âncora e a equipe do Paulo. Atualizado para refletir o estado de implementação atual: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9"/>
        <w:gridCol w:w="1293"/>
        <w:gridCol w:w="2424"/>
        <w:gridCol w:w="32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DPO2U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Paulo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 Alinhamento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arquitetural; ajuste fino dos predicados de alteração bancária ao contexto do ente piloto; spec de integração em docs.dpo2u.com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Mapeamento do fluxo de alteração bancária no ente piloto; levantamento das fontes oficiais relevantes (CEIS, CNEP, Receita)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Build 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3–8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MCP-Gov v1 com tools</w:t>
            </w:r>
            <w:r>
              <w:t xml:space="preserve"> </w:t>
            </w:r>
            <w:r>
              <w:rPr>
                <w:rStyle w:val="VerbatimChar"/>
              </w:rPr>
              <w:t xml:space="preserve">gov_predicate_evaluate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gov_document_attest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gov_audit_trail_query</w:t>
            </w:r>
            <w:r>
              <w:t xml:space="preserve">; integração Stellar via SDK</w:t>
            </w:r>
            <w:r>
              <w:t xml:space="preserve"> </w:t>
            </w:r>
            <w:r>
              <w:rPr>
                <w:rStyle w:val="VerbatimChar"/>
              </w:rPr>
              <w:t xml:space="preserve">@dpo2u/stellar-sdk</w:t>
            </w:r>
            <w:r>
              <w:t xml:space="preserve">; tools oráculos v1 para CEIS e CNEP entregues à equipe do Paulo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IA + UI servidor + integração ao SEI consultivo do ente; calibração documental nos casos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Smoke + 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Suporte técnico; ajustes finos; documentação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 com fluxos reais selecionados; coleta de feedback inicial do controle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Operação consultiva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auditável renderizada em formato apto a TCE/MP; relatório de métricas de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consultiva em produção; comparação com parecer manual do controle; relatório de campo</w:t>
            </w:r>
          </w:p>
        </w:tc>
      </w:tr>
    </w:tbl>
    <w:p>
      <w:pPr>
        <w:pStyle w:val="BodyText"/>
      </w:pPr>
      <w:r>
        <w:t xml:space="preserve">O contrato Soroban já em testnet (Anexo G) reduz o esforço da Fase 0: o workshop arquitetural pode ser parcialmente substituído por uma sessão de walkthrough do que já está deployed. A modelagem do</w:t>
      </w:r>
      <w:r>
        <w:t xml:space="preserve"> </w:t>
      </w:r>
      <w:r>
        <w:rPr>
          <w:rStyle w:val="VerbatimChar"/>
        </w:rPr>
        <w:t xml:space="preserve">bank_chg</w:t>
      </w:r>
      <w:r>
        <w:t xml:space="preserve"> </w:t>
      </w:r>
      <w:r>
        <w:t xml:space="preserve">v1 também já está pronta — o que sobra para a Fase 0 é o ajuste fino dos predicates à realidade documental do ente piloto.</w:t>
      </w:r>
    </w:p>
    <w:bookmarkEnd w:id="41"/>
    <w:bookmarkStart w:id="42" w:name="riscos-e-mitigações"/>
    <w:p>
      <w:pPr>
        <w:pStyle w:val="Heading2"/>
      </w:pPr>
      <w:r>
        <w:t xml:space="preserve">11. Riscos e mitigações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Risco regulatório.</w:t>
      </w:r>
      <w:r>
        <w:t xml:space="preserve"> </w:t>
      </w:r>
      <w:r>
        <w:t xml:space="preserve">Automação de fluxos administrativos pode encontrar resistência interpretativa. Mitigação: arquitetura preserva revisão humana, autotutela e inafastabilidade da jurisdição. DPO2U-Gov não decide, apenas executa transição parametrizada após verificação formal.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Risco de governança da IA.</w:t>
      </w:r>
      <w:r>
        <w:t xml:space="preserve"> </w:t>
      </w:r>
      <w:r>
        <w:t xml:space="preserve">O caso</w:t>
      </w:r>
      <w:r>
        <w:t xml:space="preserve"> </w:t>
      </w:r>
      <w:r>
        <w:t xml:space="preserve">“</w:t>
      </w:r>
      <w:r>
        <w:t xml:space="preserve">Diella</w:t>
      </w:r>
      <w:r>
        <w:t xml:space="preserve">”</w:t>
      </w:r>
      <w:r>
        <w:t xml:space="preserve"> </w:t>
      </w:r>
      <w:r>
        <w:t xml:space="preserve">na Albânia, citado pelo próprio Paulo, é alerta válido. Mitigação: cliente IA é estritamente auxiliar, registrado via AgentRegistry, com trilha de operação auditável e responsabilidade jurídica preservada com o servidor público.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Risco de integração com sistemas legados.</w:t>
      </w:r>
      <w:r>
        <w:t xml:space="preserve"> </w:t>
      </w:r>
      <w:r>
        <w:t xml:space="preserve">SIAFI, SEI e similares não foram desenhados para interoperar com camadas modernas. Mitigação: integração via APIs documentadas e camada de adaptação construída pelo time do Paulo. DPO2U-Gov expõe interface limpa e estável via MCP.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Risco LGPD setor público.</w:t>
      </w:r>
      <w:r>
        <w:t xml:space="preserve"> </w:t>
      </w:r>
      <w:r>
        <w:t xml:space="preserve">Tratamento de dados pessoais por ente público tem base legal específica. Mitigação: Compliance Registry registra hashes e atestações, não dados pessoais brutos. Documentos sensíveis permanecem off-chain sob controle do ente público.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Risco de escopo.</w:t>
      </w:r>
      <w:r>
        <w:t xml:space="preserve"> </w:t>
      </w:r>
      <w:r>
        <w:t xml:space="preserve">Tentação natural de ampliar para fluxos complexos antes de validar o núcleo. Mitigação: piloto cirúrgico em classe restrita de contratos, com expansão apenas após métricas de validação.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Risco de chain.</w:t>
      </w:r>
      <w:r>
        <w:t xml:space="preserve"> </w:t>
      </w:r>
      <w:r>
        <w:t xml:space="preserve">Stellar mainnet tem histórico estável, mas qualquer chain pública carrega risco de incidente. Mitigação: contrato é imutável por design (não tem proxy, não tem upgrade após deploy mainnet); chave de admin sob multisig (Stellar account com multiple signers); plano de continuidade documentado (</w:t>
      </w:r>
      <w:r>
        <w:rPr>
          <w:rStyle w:val="VerbatimChar"/>
        </w:rPr>
        <w:t xml:space="preserve">docs/RUNBOOK.md</w:t>
      </w:r>
      <w:r>
        <w:t xml:space="preserve">) cobrindo cenários de halt, fork, vazamento de chave, descomissionamento.</w:t>
      </w:r>
    </w:p>
    <w:bookmarkEnd w:id="42"/>
    <w:bookmarkStart w:id="43" w:name="decisões-pendentes"/>
    <w:p>
      <w:pPr>
        <w:pStyle w:val="Heading2"/>
      </w:pPr>
      <w:r>
        <w:t xml:space="preserve">12. Decisões pendentes</w:t>
      </w:r>
    </w:p>
    <w:p>
      <w:pPr>
        <w:pStyle w:val="FirstParagraph"/>
      </w:pPr>
      <w:r>
        <w:t xml:space="preserve">Pontos abertos que precisam ser fechados na primeira conversa conjunta: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Ente público âncora.</w:t>
      </w:r>
      <w:r>
        <w:t xml:space="preserve"> </w:t>
      </w:r>
      <w:r>
        <w:t xml:space="preserve">Prefeitura de Joinville foi sinalizada como candidato prioritário, com reunião de aproximação em curso. Confirmar composição da reunião (CIO, Procuradoria, Controladoria, Secretaria de Administração) e calendário definitivo.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Stack técnico das duas devs.</w:t>
      </w:r>
      <w:r>
        <w:t xml:space="preserve"> </w:t>
      </w:r>
      <w:r>
        <w:t xml:space="preserve">Experiência prévia com APIs de governo brasileiro, frontend, infraestrutura.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Caminho jurídico-formal.</w:t>
      </w:r>
      <w:r>
        <w:t xml:space="preserve"> </w:t>
      </w:r>
      <w:r>
        <w:t xml:space="preserve">CPSI sugerido pelo Paulo, parceria com PUC-Rio, contrato direto, outro instrumento.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Política de fallback e versionamento dos oráculos.</w:t>
      </w:r>
      <w:r>
        <w:t xml:space="preserve"> </w:t>
      </w:r>
      <w:r>
        <w:t xml:space="preserve">Como tratar APIs oficiais fora do ar ou com schema mudando — definição interna do time do Paulo.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Cadência de comunicação entre os times.</w:t>
      </w:r>
      <w:r>
        <w:t xml:space="preserve"> </w:t>
      </w:r>
      <w:r>
        <w:t xml:space="preserve">Weekly conjunto, canal Slack/Discord, milestones compartilhados.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Política de divulgação.</w:t>
      </w:r>
      <w:r>
        <w:t xml:space="preserve"> </w:t>
      </w:r>
      <w:r>
        <w:t xml:space="preserve">Quando e como anunciar a colaboração publicamente; alinhamento com calendário acadêmico do Paulo.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Gestão de chave Stellar.</w:t>
      </w:r>
      <w:r>
        <w:t xml:space="preserve"> </w:t>
      </w:r>
      <w:r>
        <w:t xml:space="preserve">Quem opera a chave do ente público em produção: custódia, multisig na própria rede Stellar (suporte nativo a multisignature), HSM externo. Decisão importa porque o contrato</w:t>
      </w:r>
      <w:r>
        <w:t xml:space="preserve"> </w:t>
      </w:r>
      <w:r>
        <w:rPr>
          <w:rStyle w:val="VerbatimChar"/>
        </w:rPr>
        <w:t xml:space="preserve">authorize_submitter</w:t>
      </w:r>
      <w:r>
        <w:t xml:space="preserve"> </w:t>
      </w:r>
      <w:r>
        <w:t xml:space="preserve">precisa ser invocado pelo admin para autorizar a entidade signatária do ente — e essa autorização precisa ser auditável.</w:t>
      </w:r>
    </w:p>
    <w:bookmarkEnd w:id="43"/>
    <w:bookmarkStart w:id="44" w:name="próximos-passos-sugeridos"/>
    <w:p>
      <w:pPr>
        <w:pStyle w:val="Heading2"/>
      </w:pPr>
      <w:r>
        <w:t xml:space="preserve">13. Próximos passos sugeridos</w:t>
      </w:r>
    </w:p>
    <w:p>
      <w:pPr>
        <w:numPr>
          <w:ilvl w:val="0"/>
          <w:numId w:val="1007"/>
        </w:numPr>
      </w:pPr>
      <w:r>
        <w:t xml:space="preserve">Validação deste documento com Paulo e com as duas desenvolvedoras.</w:t>
      </w:r>
    </w:p>
    <w:p>
      <w:pPr>
        <w:numPr>
          <w:ilvl w:val="0"/>
          <w:numId w:val="1007"/>
        </w:numPr>
      </w:pPr>
      <w:r>
        <w:t xml:space="preserve">Reunião de alinhamento (60–90 min) para fechar pontos pendentes.</w:t>
      </w:r>
    </w:p>
    <w:p>
      <w:pPr>
        <w:numPr>
          <w:ilvl w:val="0"/>
          <w:numId w:val="1007"/>
        </w:numPr>
      </w:pPr>
      <w:r>
        <w:t xml:space="preserve">Workshop técnico-arquitetural de Fase 0 (meio dia, presencial ou remoto), com walkthrough do contrato testnet já deployed e participação das devs e da equipe técnica DPO2U.</w:t>
      </w:r>
    </w:p>
    <w:p>
      <w:pPr>
        <w:numPr>
          <w:ilvl w:val="0"/>
          <w:numId w:val="1007"/>
        </w:numPr>
      </w:pPr>
      <w:r>
        <w:t xml:space="preserve">Acordo de colaboração simples de uma página: escopo, princípios, propriedade intelectual, confidencialidade. Modelo comercial fora deste escopo.</w:t>
      </w:r>
    </w:p>
    <w:p>
      <w:pPr>
        <w:numPr>
          <w:ilvl w:val="0"/>
          <w:numId w:val="1007"/>
        </w:numPr>
      </w:pPr>
      <w:r>
        <w:t xml:space="preserve">Início da Fase 1.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arte-2"/>
    <w:p>
      <w:pPr>
        <w:pStyle w:val="Heading1"/>
      </w:pPr>
      <w:r>
        <w:t xml:space="preserve">PARTE 2</w:t>
      </w:r>
    </w:p>
    <w:bookmarkEnd w:id="46"/>
    <w:bookmarkStart w:id="81" w:name="anexo-técnico"/>
    <w:p>
      <w:pPr>
        <w:pStyle w:val="Heading1"/>
      </w:pPr>
      <w:r>
        <w:t xml:space="preserve">Anexo Técnico</w:t>
      </w:r>
    </w:p>
    <w:p>
      <w:pPr>
        <w:pStyle w:val="FirstParagraph"/>
      </w:pPr>
      <w:r>
        <w:rPr>
          <w:i/>
          <w:iCs/>
        </w:rPr>
        <w:t xml:space="preserve">Para a equipe de desenvolvimento</w:t>
      </w:r>
    </w:p>
    <w:bookmarkStart w:id="50" w:name="a.-visão-de-arquitetura-técnica"/>
    <w:p>
      <w:pPr>
        <w:pStyle w:val="Heading2"/>
      </w:pPr>
      <w:r>
        <w:t xml:space="preserve">A. Visão de arquitetura técnica</w:t>
      </w:r>
    </w:p>
    <w:p>
      <w:pPr>
        <w:pStyle w:val="FirstParagraph"/>
      </w:pPr>
      <w:r>
        <w:t xml:space="preserve">DPO2U-Gov é construído sobre o core compartilhado da DPO2U, com adições específicas para o domínio público:</w:t>
      </w:r>
    </w:p>
    <w:bookmarkStart w:id="47" w:name="a.1.-camadas-dpo2u"/>
    <w:p>
      <w:pPr>
        <w:pStyle w:val="Heading3"/>
      </w:pPr>
      <w:r>
        <w:t xml:space="preserve">A.1. Camadas DPO2U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Contrato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anticorruption-attestation</w:t>
      </w:r>
      <w:r>
        <w:rPr>
          <w:b/>
          <w:bCs/>
        </w:rPr>
        <w:t xml:space="preserve"> </w:t>
      </w:r>
      <w:r>
        <w:rPr>
          <w:b/>
          <w:bCs/>
        </w:rPr>
        <w:t xml:space="preserve">(Stellar Soroban, Rust).</w:t>
      </w:r>
      <w:r>
        <w:t xml:space="preserve"> </w:t>
      </w:r>
      <w:r>
        <w:t xml:space="preserve">Contrato imutável que registra atestações de compliance emitidas pelo motor de predicados off-chain. Sem PII on-chain — apenas hashes de evidência e metadata, mais o veredito agregado (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Fail</w:t>
      </w:r>
      <w:r>
        <w:t xml:space="preserve">/</w:t>
      </w:r>
      <w:r>
        <w:rPr>
          <w:rStyle w:val="VerbatimChar"/>
        </w:rPr>
        <w:t xml:space="preserve">Review</w:t>
      </w:r>
      <w:r>
        <w:t xml:space="preserve">). Cinco funções públicas:</w:t>
      </w:r>
      <w:r>
        <w:t xml:space="preserve"> </w:t>
      </w:r>
      <w:r>
        <w:rPr>
          <w:rStyle w:val="VerbatimChar"/>
        </w:rPr>
        <w:t xml:space="preserve">__constructor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configure_use_case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authorize_submitter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register_attestation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verify_attestation</w:t>
      </w:r>
      <w:r>
        <w:t xml:space="preserve">. Storage estruturado em quatro chaves: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UseCaseConfig(Symbol)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Authorized(Address)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Attestation(Symbol, BytesN&lt;32&gt;)</w:t>
      </w:r>
      <w:r>
        <w:t xml:space="preserve">. Detalhes no Anexo C.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AgentRegistry (roadmap).</w:t>
      </w:r>
      <w:r>
        <w:t xml:space="preserve"> </w:t>
      </w:r>
      <w:r>
        <w:t xml:space="preserve">No módulo Enterprise/Web3, AgentRegistry vive em Solana (programa Anchor deployed devnet). No módulo Gov, a entidade equivalente é implementada via o mecanismo</w:t>
      </w:r>
      <w:r>
        <w:t xml:space="preserve"> </w:t>
      </w:r>
      <w:r>
        <w:rPr>
          <w:rStyle w:val="VerbatimChar"/>
        </w:rPr>
        <w:t xml:space="preserve">authorize_submitter</w:t>
      </w:r>
      <w:r>
        <w:t xml:space="preserve"> </w:t>
      </w:r>
      <w:r>
        <w:t xml:space="preserve">do contrato Soroban: cada agente IA do ente é autorizado individualmente pelo admin, com revogação suportada. AgentRegistry completo em contrato Soroban dedicado (com metadata de modelo, capabilities, operador) é roadmap pós-Nível 1.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DPO2U-MCP-Gov.</w:t>
      </w:r>
      <w:r>
        <w:t xml:space="preserve"> </w:t>
      </w:r>
      <w:r>
        <w:t xml:space="preserve">Tools no namespace</w:t>
      </w:r>
      <w:r>
        <w:t xml:space="preserve"> </w:t>
      </w:r>
      <w:r>
        <w:rPr>
          <w:rStyle w:val="VerbatimChar"/>
        </w:rPr>
        <w:t xml:space="preserve">gov_*</w:t>
      </w:r>
      <w:r>
        <w:t xml:space="preserve"> </w:t>
      </w:r>
      <w:r>
        <w:t xml:space="preserve">expondo predicados, atestações, registro on-chain e explainability. Cliente MCP do ente consome essas tools. As primeiras tools —</w:t>
      </w:r>
      <w:r>
        <w:t xml:space="preserve"> </w:t>
      </w:r>
      <w:r>
        <w:rPr>
          <w:rStyle w:val="VerbatimChar"/>
        </w:rPr>
        <w:t xml:space="preserve">gov_predicate_evaluate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gov_document_attest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gov_audit_trail_query</w:t>
      </w:r>
      <w:r>
        <w:t xml:space="preserve"> </w:t>
      </w:r>
      <w:r>
        <w:t xml:space="preserve">— já estão demonstráveis via o gateway REST do piloto, com versão experimental do MCP Gov programada para a Fase 1.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docs.dpo2u.com.</w:t>
      </w:r>
      <w:r>
        <w:t xml:space="preserve"> </w:t>
      </w:r>
      <w:r>
        <w:t xml:space="preserve">Especificação técnica viva: schemas das tools, contratos de integração, ciclo de vida de predicados, formato de atestação. O contrato Soroban tem documentação canônica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do repositório</w:t>
      </w:r>
      <w:r>
        <w:t xml:space="preserve"> </w:t>
      </w:r>
      <w:r>
        <w:rPr>
          <w:rStyle w:val="VerbatimChar"/>
        </w:rPr>
        <w:t xml:space="preserve">github.com/fredericosanntana/dpo2u-stellar</w:t>
      </w:r>
      <w:r>
        <w:t xml:space="preserve">.</w:t>
      </w:r>
    </w:p>
    <w:bookmarkEnd w:id="47"/>
    <w:bookmarkStart w:id="48" w:name="a.2.-camadas-time-do-paulo"/>
    <w:p>
      <w:pPr>
        <w:pStyle w:val="Heading3"/>
      </w:pPr>
      <w:r>
        <w:t xml:space="preserve">A.2. Camadas time do Paulo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UI/UX do servidor público.</w:t>
      </w:r>
      <w:r>
        <w:t xml:space="preserve"> </w:t>
      </w:r>
      <w:r>
        <w:t xml:space="preserve">Submissão documental, dashboard de fluxo, painel de auditoria, explicabilidade renderizada para o servidor.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Cliente IA.</w:t>
      </w:r>
      <w:r>
        <w:t xml:space="preserve"> </w:t>
      </w:r>
      <w:r>
        <w:t xml:space="preserve">Hospedado no ambiente do ente público. Orquestra o fluxo, lê documentos submetidos, decide consultas, amarra resultados de oráculos com tools MCP-Gov.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Oráculos brasileiros.</w:t>
      </w:r>
      <w:r>
        <w:t xml:space="preserve"> </w:t>
      </w:r>
      <w:r>
        <w:t xml:space="preserve">CEIS, CNEP, SIAFI, gov.br, Receita Federal, Caixa. Bibliotecas que consultam fontes oficiais e retornam resultado estruturado para o cliente IA.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Integração de pagamento.</w:t>
      </w:r>
      <w:r>
        <w:t xml:space="preserve"> </w:t>
      </w:r>
      <w:r>
        <w:t xml:space="preserve">Camada que recebe sinal de transição autorizada do MCP-Gov e dispara fluxo de pagamento no sistema do ente (SIAFI, SIAFEM, sistema municipal).</w:t>
      </w:r>
    </w:p>
    <w:bookmarkEnd w:id="48"/>
    <w:bookmarkStart w:id="49" w:name="Xdc8eef9d058441c50300e641a98dc0cda5a0b62"/>
    <w:p>
      <w:pPr>
        <w:pStyle w:val="Heading3"/>
      </w:pPr>
      <w:r>
        <w:t xml:space="preserve">A.3. Fluxo típico — autorização de transição</w:t>
      </w:r>
    </w:p>
    <w:p>
      <w:pPr>
        <w:pStyle w:val="FirstParagraph"/>
      </w:pPr>
      <w:r>
        <w:t xml:space="preserve">Sequência operacional típica em produção:</w:t>
      </w:r>
    </w:p>
    <w:p>
      <w:pPr>
        <w:pStyle w:val="Compact"/>
        <w:numPr>
          <w:ilvl w:val="0"/>
          <w:numId w:val="1010"/>
        </w:numPr>
      </w:pPr>
      <w:r>
        <w:t xml:space="preserve">Servidor submete documentos via UI do time Paulo.</w:t>
      </w:r>
    </w:p>
    <w:p>
      <w:pPr>
        <w:pStyle w:val="Compact"/>
        <w:numPr>
          <w:ilvl w:val="0"/>
          <w:numId w:val="1010"/>
        </w:numPr>
      </w:pPr>
      <w:r>
        <w:t xml:space="preserve">Cliente IA extrai campos estruturados e consulta oráculos relevantes (CEIS, CNEP, etc.).</w:t>
      </w:r>
    </w:p>
    <w:p>
      <w:pPr>
        <w:pStyle w:val="Compact"/>
        <w:numPr>
          <w:ilvl w:val="0"/>
          <w:numId w:val="1010"/>
        </w:numPr>
      </w:pPr>
      <w:r>
        <w:t xml:space="preserve">Cliente IA chama</w:t>
      </w:r>
      <w:r>
        <w:t xml:space="preserve"> </w:t>
      </w:r>
      <w:r>
        <w:rPr>
          <w:rStyle w:val="VerbatimChar"/>
        </w:rPr>
        <w:t xml:space="preserve">gov_predicate_evaluate</w:t>
      </w:r>
      <w:r>
        <w:t xml:space="preserve"> </w:t>
      </w:r>
      <w:r>
        <w:t xml:space="preserve">no MCP-Gov com a evidência consolidada.</w:t>
      </w:r>
    </w:p>
    <w:p>
      <w:pPr>
        <w:pStyle w:val="Compact"/>
        <w:numPr>
          <w:ilvl w:val="0"/>
          <w:numId w:val="1010"/>
        </w:numPr>
      </w:pPr>
      <w:r>
        <w:t xml:space="preserve">MCP-Gov executa motor de predicados off-chain (determinístico, sem I/O externo).</w:t>
      </w:r>
    </w:p>
    <w:p>
      <w:pPr>
        <w:pStyle w:val="Compact"/>
        <w:numPr>
          <w:ilvl w:val="0"/>
          <w:numId w:val="1010"/>
        </w:numPr>
      </w:pPr>
      <w:r>
        <w:t xml:space="preserve">Se todos os predicados PASS, MCP-Gov chama</w:t>
      </w:r>
      <w:r>
        <w:t xml:space="preserve"> </w:t>
      </w:r>
      <w:r>
        <w:rPr>
          <w:rStyle w:val="VerbatimChar"/>
        </w:rPr>
        <w:t xml:space="preserve">register_attestation</w:t>
      </w:r>
      <w:r>
        <w:t xml:space="preserve"> </w:t>
      </w:r>
      <w:r>
        <w:t xml:space="preserve">no contrato Soroban, ancorando hash de evidência + hash de metadata + veredito.</w:t>
      </w:r>
    </w:p>
    <w:p>
      <w:pPr>
        <w:pStyle w:val="Compact"/>
        <w:numPr>
          <w:ilvl w:val="0"/>
          <w:numId w:val="1010"/>
        </w:numPr>
      </w:pPr>
      <w:r>
        <w:t xml:space="preserve">Stellar testnet (ou mainnet em produção) retorna tx hash e ledger sequence.</w:t>
      </w:r>
    </w:p>
    <w:p>
      <w:pPr>
        <w:pStyle w:val="Compact"/>
        <w:numPr>
          <w:ilvl w:val="0"/>
          <w:numId w:val="1010"/>
        </w:numPr>
      </w:pPr>
      <w:r>
        <w:t xml:space="preserve">UI mostra ao servidor o veredito + tx pública + link Stellar Expert.</w:t>
      </w:r>
    </w:p>
    <w:p>
      <w:pPr>
        <w:pStyle w:val="Compact"/>
        <w:numPr>
          <w:ilvl w:val="0"/>
          <w:numId w:val="1010"/>
        </w:numPr>
      </w:pPr>
      <w:r>
        <w:t xml:space="preserve">Auditor externo, em qualquer momento, roda</w:t>
      </w:r>
      <w:r>
        <w:t xml:space="preserve"> </w:t>
      </w:r>
      <w:r>
        <w:rPr>
          <w:rStyle w:val="VerbatimChar"/>
        </w:rPr>
        <w:t xml:space="preserve">dpo2u-attest verify &lt;use_case&gt; &lt;evidence_hash&gt;</w:t>
      </w:r>
      <w:r>
        <w:t xml:space="preserve"> </w:t>
      </w:r>
      <w:r>
        <w:t xml:space="preserve">da máquina dele e recebe o registro on-chain — sem credencial, sem cooperação do ente.</w:t>
      </w:r>
    </w:p>
    <w:bookmarkEnd w:id="49"/>
    <w:bookmarkEnd w:id="50"/>
    <w:bookmarkStart w:id="58" w:name="b.-tools-mcp-do-namespace-gov_"/>
    <w:p>
      <w:pPr>
        <w:pStyle w:val="Heading2"/>
      </w:pPr>
      <w:r>
        <w:t xml:space="preserve">B. Tools MCP do namespace gov_*</w:t>
      </w:r>
    </w:p>
    <w:p>
      <w:pPr>
        <w:pStyle w:val="FirstParagraph"/>
      </w:pPr>
      <w:r>
        <w:t xml:space="preserve">Conjunto inicial de ferramentas a serem expostas pela DPO2U. Nomes e schemas são propostas e podem ser ajustados no workshop arquitetural. Especificação completa em docs.dpo2u.com após Fase 0.</w:t>
      </w:r>
    </w:p>
    <w:bookmarkStart w:id="51" w:name="gov_predicate_define"/>
    <w:p>
      <w:pPr>
        <w:pStyle w:val="Heading3"/>
      </w:pPr>
      <w:r>
        <w:t xml:space="preserve">gov_predicate_define</w:t>
      </w:r>
    </w:p>
    <w:p>
      <w:pPr>
        <w:pStyle w:val="FirstParagraph"/>
      </w:pPr>
      <w:r>
        <w:t xml:space="preserve">Registra predicado de compliance no Compliance Registry. Recebe definição estruturada e retorna ID mais hash on-chain. Idempotente por hash de definição. Em Stellar, materializa-se como invocação</w:t>
      </w:r>
      <w:r>
        <w:t xml:space="preserve"> </w:t>
      </w:r>
      <w:r>
        <w:rPr>
          <w:rStyle w:val="VerbatimChar"/>
        </w:rPr>
        <w:t xml:space="preserve">configure_use_case(admin, use_case_id, UseCaseConfig)</w:t>
      </w:r>
      <w:r>
        <w:t xml:space="preserve">.</w:t>
      </w:r>
    </w:p>
    <w:p>
      <w:pPr>
        <w:pStyle w:val="BodyTex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{ name, version, schema, normative_ref, validator_spec }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 predicate_id, on_chain_hash, tx_signature }</w:t>
      </w:r>
    </w:p>
    <w:bookmarkEnd w:id="51"/>
    <w:bookmarkStart w:id="52" w:name="gov_document_attest"/>
    <w:p>
      <w:pPr>
        <w:pStyle w:val="Heading3"/>
      </w:pPr>
      <w:r>
        <w:t xml:space="preserve">gov_document_attest</w:t>
      </w:r>
    </w:p>
    <w:p>
      <w:pPr>
        <w:pStyle w:val="FirstParagraph"/>
      </w:pPr>
      <w:r>
        <w:t xml:space="preserve">Gera atestação verificável de que documento foi submetido em determinado momento, vinculado a predicado e fluxo. Registra hash do documento e metadados, nunca conteúdo bruto. Em Stellar, materializa-se como invocação</w:t>
      </w:r>
      <w:r>
        <w:t xml:space="preserve"> </w:t>
      </w:r>
      <w:r>
        <w:rPr>
          <w:rStyle w:val="VerbatimChar"/>
        </w:rPr>
        <w:t xml:space="preserve">register_attestation(submitter, use_case_id, verdict, evidence_hash, metadata_hash)</w:t>
      </w:r>
      <w:r>
        <w:t xml:space="preserve">.</w:t>
      </w:r>
    </w:p>
    <w:p>
      <w:pPr>
        <w:pStyle w:val="BodyTex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{ flow_id, predicate_id, document_hash, submitter_id, metadata }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 attestation_id, on_chain_proof, tx_signature }</w:t>
      </w:r>
    </w:p>
    <w:bookmarkEnd w:id="52"/>
    <w:bookmarkStart w:id="53" w:name="gov_predicate_evaluate"/>
    <w:p>
      <w:pPr>
        <w:pStyle w:val="Heading3"/>
      </w:pPr>
      <w:r>
        <w:t xml:space="preserve">gov_predicate_evaluate</w:t>
      </w:r>
    </w:p>
    <w:p>
      <w:pPr>
        <w:pStyle w:val="FirstParagraph"/>
      </w:pPr>
      <w:r>
        <w:t xml:space="preserve">Avalia conjunto de evidências (extraídas pelo cliente IA, validadas por oráculos do time Paulo) contra predicado. Retorna sucesso ou lista estruturada de gaps. Off-chain, determinístico.</w:t>
      </w:r>
    </w:p>
    <w:p>
      <w:pPr>
        <w:pStyle w:val="BodyTex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{ predicate_id, evidence_bundle, agent_id }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 is_satisfied, gaps[], evaluation_signed_hash }</w:t>
      </w:r>
    </w:p>
    <w:bookmarkEnd w:id="53"/>
    <w:bookmarkStart w:id="54" w:name="gov_payment_gate"/>
    <w:p>
      <w:pPr>
        <w:pStyle w:val="Heading3"/>
      </w:pPr>
      <w:r>
        <w:t xml:space="preserve">gov_payment_gate</w:t>
      </w:r>
    </w:p>
    <w:p>
      <w:pPr>
        <w:pStyle w:val="FirstParagraph"/>
      </w:pPr>
      <w:r>
        <w:t xml:space="preserve">Verifica se todos os predicados de uma fase estão satisfeitos para autorizar transição de estado. Não autoriza pagamento — autoriza a transição que o sistema do ente público interpreta como sinal verde.</w:t>
      </w:r>
    </w:p>
    <w:p>
      <w:pPr>
        <w:pStyle w:val="BodyTex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{ flow_id, target_state }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 can_transition, missing_predicates[], blocking_reasons[] }</w:t>
      </w:r>
    </w:p>
    <w:bookmarkEnd w:id="54"/>
    <w:bookmarkStart w:id="55" w:name="gov_audit_trail_query"/>
    <w:p>
      <w:pPr>
        <w:pStyle w:val="Heading3"/>
      </w:pPr>
      <w:r>
        <w:t xml:space="preserve">gov_audit_trail_query</w:t>
      </w:r>
    </w:p>
    <w:p>
      <w:pPr>
        <w:pStyle w:val="FirstParagraph"/>
      </w:pPr>
      <w:r>
        <w:t xml:space="preserve">Recupera trilha auditável completa de um fluxo. Inclui prova de integridade on-chain (tx hashes Stellar). Saída pensada para consumo por TCU, CGU, MP.</w:t>
      </w:r>
    </w:p>
    <w:p>
      <w:pPr>
        <w:pStyle w:val="BodyTex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{ flow_id, format ('json' | 'pdf_signed') }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 trail[], integrity_proof, generated_at }</w:t>
      </w:r>
    </w:p>
    <w:bookmarkEnd w:id="55"/>
    <w:bookmarkStart w:id="56" w:name="gov_explainability_render"/>
    <w:p>
      <w:pPr>
        <w:pStyle w:val="Heading3"/>
      </w:pPr>
      <w:r>
        <w:t xml:space="preserve">gov_explainability_render</w:t>
      </w:r>
    </w:p>
    <w:p>
      <w:pPr>
        <w:pStyle w:val="FirstParagraph"/>
      </w:pPr>
      <w:r>
        <w:t xml:space="preserve">Gera laudo em linguagem simples explicando o que aconteceu em um fluxo. Saída pensada para servidor público, controle social e cidadão.</w:t>
      </w:r>
    </w:p>
    <w:p>
      <w:pPr>
        <w:pStyle w:val="BodyTex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{ flow_id, audience ('servidor' | 'controle' | 'cidadao'), language }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 explanation_text, key_events[], generated_at }</w:t>
      </w:r>
    </w:p>
    <w:bookmarkEnd w:id="56"/>
    <w:bookmarkStart w:id="57" w:name="gov_agent_register"/>
    <w:p>
      <w:pPr>
        <w:pStyle w:val="Heading3"/>
      </w:pPr>
      <w:r>
        <w:t xml:space="preserve">gov_agent_register</w:t>
      </w:r>
    </w:p>
    <w:p>
      <w:pPr>
        <w:pStyle w:val="FirstParagraph"/>
      </w:pPr>
      <w:r>
        <w:t xml:space="preserve">Registra identidade do cliente IA usado pelo ente. Vincula modelo, operador, capabilities. Em Stellar, materializa-se como invocação</w:t>
      </w:r>
      <w:r>
        <w:t xml:space="preserve"> </w:t>
      </w:r>
      <w:r>
        <w:rPr>
          <w:rStyle w:val="VerbatimChar"/>
        </w:rPr>
        <w:t xml:space="preserve">authorize_submitter(admin, submitter_address, allowed=true)</w:t>
      </w:r>
      <w:r>
        <w:t xml:space="preserve"> </w:t>
      </w:r>
      <w:r>
        <w:t xml:space="preserve">do contrato</w:t>
      </w:r>
      <w:r>
        <w:t xml:space="preserve"> </w:t>
      </w:r>
      <w:r>
        <w:rPr>
          <w:rStyle w:val="VerbatimChar"/>
        </w:rPr>
        <w:t xml:space="preserve">anticorruption-attestation</w:t>
      </w:r>
      <w:r>
        <w:t xml:space="preserve">.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 agent_id, on_chain_pubkey, tx_signature }</w:t>
      </w:r>
    </w:p>
    <w:bookmarkEnd w:id="57"/>
    <w:bookmarkEnd w:id="58"/>
    <w:bookmarkStart w:id="68" w:name="c.-contrato-soroban-esboço-de-storage"/>
    <w:p>
      <w:pPr>
        <w:pStyle w:val="Heading2"/>
      </w:pPr>
      <w:r>
        <w:t xml:space="preserve">C. Contrato Soroban — esboço de storage</w:t>
      </w:r>
    </w:p>
    <w:p>
      <w:pPr>
        <w:pStyle w:val="FirstParagraph"/>
      </w:pPr>
      <w:r>
        <w:t xml:space="preserve">Substitui o anexo</w:t>
      </w:r>
      <w:r>
        <w:t xml:space="preserve"> </w:t>
      </w:r>
      <w:r>
        <w:t xml:space="preserve">“</w:t>
      </w:r>
      <w:r>
        <w:t xml:space="preserve">Programa Solana — esboço de contas</w:t>
      </w:r>
      <w:r>
        <w:t xml:space="preserve">”</w:t>
      </w:r>
      <w:r>
        <w:t xml:space="preserve"> </w:t>
      </w:r>
      <w:r>
        <w:t xml:space="preserve">da v0.4. Aqui descrevemos o contrato</w:t>
      </w:r>
      <w:r>
        <w:t xml:space="preserve"> </w:t>
      </w:r>
      <w:r>
        <w:rPr>
          <w:rStyle w:val="VerbatimChar"/>
        </w:rPr>
        <w:t xml:space="preserve">anticorruption-attestation</w:t>
      </w:r>
      <w:r>
        <w:t xml:space="preserve"> </w:t>
      </w:r>
      <w:r>
        <w:t xml:space="preserve">já deployed em testnet (estado atual) mais as extensões previstas para o módulo Gov completo.</w:t>
      </w:r>
    </w:p>
    <w:bookmarkStart w:id="63" w:name="X36d1cdf350f60b66ce901768789cbd48beada05"/>
    <w:p>
      <w:pPr>
        <w:pStyle w:val="Heading3"/>
      </w:pPr>
      <w:r>
        <w:t xml:space="preserve">C.1. Estado atual (deployed em testnet, 2026-05-12)</w:t>
      </w:r>
    </w:p>
    <w:p>
      <w:pPr>
        <w:pStyle w:val="FirstParagraph"/>
      </w:pPr>
      <w:r>
        <w:rPr>
          <w:b/>
          <w:bCs/>
        </w:rPr>
        <w:t xml:space="preserve">Contract ID:</w:t>
      </w:r>
      <w:r>
        <w:t xml:space="preserve"> </w:t>
      </w:r>
      <w:r>
        <w:rPr>
          <w:rStyle w:val="VerbatimChar"/>
        </w:rPr>
        <w:t xml:space="preserve">CC4TJGDRWZOPGBWOOHBJF3N2VKUQRNIW6C6PTYHD7ZI3D42GBQRRZHM5</w:t>
      </w:r>
      <w:r>
        <w:t xml:space="preserve"> </w:t>
      </w:r>
      <w:r>
        <w:rPr>
          <w:b/>
          <w:bCs/>
        </w:rPr>
        <w:t xml:space="preserve">Wasm hash:</w:t>
      </w:r>
      <w:r>
        <w:t xml:space="preserve"> </w:t>
      </w:r>
      <w:r>
        <w:rPr>
          <w:rStyle w:val="VerbatimChar"/>
        </w:rPr>
        <w:t xml:space="preserve">d706a07161d784dcf2790c95c5e5e516c0993dfbbd0c8eb7a61cdefd4a6d7595</w:t>
      </w:r>
      <w:r>
        <w:t xml:space="preserve"> </w:t>
      </w:r>
      <w:r>
        <w:rPr>
          <w:b/>
          <w:bCs/>
        </w:rPr>
        <w:t xml:space="preserve">Deploy tx:</w:t>
      </w:r>
      <w:r>
        <w:t xml:space="preserve"> </w:t>
      </w:r>
      <w:r>
        <w:rPr>
          <w:rStyle w:val="VerbatimChar"/>
        </w:rPr>
        <w:t xml:space="preserve">dc7608ac5a85ed23de28b398fce1197ae1f46359cd6ececf489b9f90a4f60a35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contracts/anticorruption-attestation/src/lib.rs</w:t>
      </w:r>
    </w:p>
    <w:p>
      <w:pPr>
        <w:pStyle w:val="BodyText"/>
      </w:pPr>
      <w:r>
        <w:t xml:space="preserve">Storage keys (DataKey enum):</w:t>
      </w:r>
    </w:p>
    <w:bookmarkStart w:id="59" w:name="admin"/>
    <w:p>
      <w:pPr>
        <w:pStyle w:val="Heading4"/>
      </w:pP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1"/>
        </w:numPr>
      </w:pPr>
      <w:r>
        <w:t xml:space="preserve">Tipo:</w:t>
      </w:r>
      <w:r>
        <w:t xml:space="preserve"> </w:t>
      </w:r>
      <w:r>
        <w:rPr>
          <w:rStyle w:val="VerbatimChar"/>
        </w:rPr>
        <w:t xml:space="preserve">Address</w:t>
      </w:r>
    </w:p>
    <w:p>
      <w:pPr>
        <w:pStyle w:val="Compact"/>
        <w:numPr>
          <w:ilvl w:val="0"/>
          <w:numId w:val="1011"/>
        </w:numPr>
      </w:pPr>
      <w:r>
        <w:t xml:space="preserve">Imutável após inicialização. Detém a capacidade de configurar use cases e autorizar/revogar submitters.</w:t>
      </w:r>
    </w:p>
    <w:bookmarkEnd w:id="59"/>
    <w:bookmarkStart w:id="60" w:name="usecaseconfigsymbol"/>
    <w:p>
      <w:pPr>
        <w:pStyle w:val="Heading4"/>
      </w:pPr>
      <w:r>
        <w:rPr>
          <w:rStyle w:val="VerbatimChar"/>
        </w:rPr>
        <w:t xml:space="preserve">UseCaseConfig(Symbol)</w:t>
      </w:r>
    </w:p>
    <w:p>
      <w:pPr>
        <w:pStyle w:val="Compact"/>
        <w:numPr>
          <w:ilvl w:val="0"/>
          <w:numId w:val="1012"/>
        </w:numPr>
      </w:pPr>
      <w:r>
        <w:t xml:space="preserve">Chave: identificador do caso de uso (e.g. </w:t>
      </w:r>
      <w:r>
        <w:rPr>
          <w:rStyle w:val="VerbatimChar"/>
        </w:rPr>
        <w:t xml:space="preserve">bank_chg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Valor:</w:t>
      </w:r>
      <w:r>
        <w:t xml:space="preserve"> </w:t>
      </w:r>
      <w:r>
        <w:rPr>
          <w:rStyle w:val="VerbatimChar"/>
        </w:rPr>
        <w:t xml:space="preserve">UseCaseConfig { active: bool, predicate_set: Symbol, predicate_version: u32 }</w:t>
      </w:r>
    </w:p>
    <w:p>
      <w:pPr>
        <w:pStyle w:val="Compact"/>
        <w:numPr>
          <w:ilvl w:val="0"/>
          <w:numId w:val="1012"/>
        </w:numPr>
      </w:pPr>
      <w:r>
        <w:t xml:space="preserve">Versão substituível por nova configuração; auditoria histórica preservada pelos eventos.</w:t>
      </w:r>
    </w:p>
    <w:bookmarkEnd w:id="60"/>
    <w:bookmarkStart w:id="61" w:name="authorizedaddress"/>
    <w:p>
      <w:pPr>
        <w:pStyle w:val="Heading4"/>
      </w:pPr>
      <w:r>
        <w:rPr>
          <w:rStyle w:val="VerbatimChar"/>
        </w:rPr>
        <w:t xml:space="preserve">Authorized(Address)</w:t>
      </w:r>
    </w:p>
    <w:p>
      <w:pPr>
        <w:pStyle w:val="Compact"/>
        <w:numPr>
          <w:ilvl w:val="0"/>
          <w:numId w:val="1013"/>
        </w:numPr>
      </w:pPr>
      <w:r>
        <w:t xml:space="preserve">Chave: endereço Stellar do submitter (entidade autorizada a ancorar atestações)</w:t>
      </w:r>
    </w:p>
    <w:p>
      <w:pPr>
        <w:pStyle w:val="Compact"/>
        <w:numPr>
          <w:ilvl w:val="0"/>
          <w:numId w:val="1013"/>
        </w:numPr>
      </w:pPr>
      <w:r>
        <w:t xml:space="preserve">Valor: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— autorização ativa ou revogada</w:t>
      </w:r>
    </w:p>
    <w:p>
      <w:pPr>
        <w:pStyle w:val="Compact"/>
        <w:numPr>
          <w:ilvl w:val="0"/>
          <w:numId w:val="1013"/>
        </w:numPr>
      </w:pPr>
      <w:r>
        <w:t xml:space="preserve">Revogação não invalida atestações anteriores; impede apenas novas atestações por aquele submitter.</w:t>
      </w:r>
    </w:p>
    <w:bookmarkEnd w:id="61"/>
    <w:bookmarkStart w:id="62" w:name="attestationsymbol-bytesn32"/>
    <w:p>
      <w:pPr>
        <w:pStyle w:val="Heading4"/>
      </w:pPr>
      <w:r>
        <w:rPr>
          <w:rStyle w:val="VerbatimChar"/>
        </w:rPr>
        <w:t xml:space="preserve">Attestation(Symbol, BytesN&lt;32&gt;)</w:t>
      </w:r>
    </w:p>
    <w:p>
      <w:pPr>
        <w:pStyle w:val="Compact"/>
        <w:numPr>
          <w:ilvl w:val="0"/>
          <w:numId w:val="1014"/>
        </w:numPr>
      </w:pPr>
      <w:r>
        <w:t xml:space="preserve">Chave:</w:t>
      </w:r>
      <w:r>
        <w:t xml:space="preserve"> </w:t>
      </w:r>
      <w:r>
        <w:rPr>
          <w:rStyle w:val="VerbatimChar"/>
        </w:rPr>
        <w:t xml:space="preserve">(use_case_id, evidence_hash)</w:t>
      </w:r>
    </w:p>
    <w:p>
      <w:pPr>
        <w:pStyle w:val="Compact"/>
        <w:numPr>
          <w:ilvl w:val="0"/>
          <w:numId w:val="1014"/>
        </w:numPr>
      </w:pPr>
      <w:r>
        <w:t xml:space="preserve">Valor:</w:t>
      </w:r>
      <w:r>
        <w:t xml:space="preserve"> </w:t>
      </w:r>
      <w:r>
        <w:rPr>
          <w:rStyle w:val="VerbatimChar"/>
        </w:rPr>
        <w:t xml:space="preserve">AttestationRecord { submitter, verdict, metadata_hash, ledger_sequence }</w:t>
      </w:r>
    </w:p>
    <w:p>
      <w:pPr>
        <w:pStyle w:val="Compact"/>
        <w:numPr>
          <w:ilvl w:val="0"/>
          <w:numId w:val="1014"/>
        </w:numPr>
      </w:pPr>
      <w:r>
        <w:t xml:space="preserve">Imutável após registro. Tentativa de re-registrar mesma evidência retorna erro</w:t>
      </w:r>
      <w:r>
        <w:t xml:space="preserve"> </w:t>
      </w:r>
      <w:r>
        <w:rPr>
          <w:rStyle w:val="VerbatimChar"/>
        </w:rPr>
        <w:t xml:space="preserve">AttestationExists (#3)</w:t>
      </w:r>
      <w:r>
        <w:t xml:space="preserve">.</w:t>
      </w:r>
    </w:p>
    <w:p>
      <w:pPr>
        <w:pStyle w:val="FirstParagraph"/>
      </w:pPr>
      <w:r>
        <w:t xml:space="preserve">Eventos emitidos: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config(use_case_id)</w:t>
      </w:r>
      <w:r>
        <w:t xml:space="preserve"> </w:t>
      </w:r>
      <w:r>
        <w:t xml:space="preserve">— em</w:t>
      </w:r>
      <w:r>
        <w:t xml:space="preserve"> </w:t>
      </w:r>
      <w:r>
        <w:rPr>
          <w:rStyle w:val="VerbatimChar"/>
        </w:rPr>
        <w:t xml:space="preserve">configure_use_case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auth(submitter)</w:t>
      </w:r>
      <w:r>
        <w:t xml:space="preserve"> </w:t>
      </w:r>
      <w:r>
        <w:t xml:space="preserve">— em</w:t>
      </w:r>
      <w:r>
        <w:t xml:space="preserve"> </w:t>
      </w:r>
      <w:r>
        <w:rPr>
          <w:rStyle w:val="VerbatimChar"/>
        </w:rPr>
        <w:t xml:space="preserve">authorize_submitter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attest(use_case_id, evidence_hash)</w:t>
      </w:r>
      <w:r>
        <w:t xml:space="preserve"> </w:t>
      </w:r>
      <w:r>
        <w:t xml:space="preserve">— em</w:t>
      </w:r>
      <w:r>
        <w:t xml:space="preserve"> </w:t>
      </w:r>
      <w:r>
        <w:rPr>
          <w:rStyle w:val="VerbatimChar"/>
        </w:rPr>
        <w:t xml:space="preserve">register_attestation</w:t>
      </w:r>
    </w:p>
    <w:bookmarkEnd w:id="62"/>
    <w:bookmarkEnd w:id="63"/>
    <w:bookmarkStart w:id="67" w:name="Xa9c778c7504173fb0d51f1842554fbc9a10e743"/>
    <w:p>
      <w:pPr>
        <w:pStyle w:val="Heading3"/>
      </w:pPr>
      <w:r>
        <w:t xml:space="preserve">C.2. Extensão para módulo Gov completo (roadmap)</w:t>
      </w:r>
    </w:p>
    <w:p>
      <w:pPr>
        <w:pStyle w:val="FirstParagraph"/>
      </w:pPr>
      <w:r>
        <w:t xml:space="preserve">As entidades adicionais propostas na v0.4 (Flow, Agent, StateTransition) materializam-se como extensões opcionais do contrato existente ou como contratos Soroban irmãos. Mapeamento sugerido:</w:t>
      </w:r>
    </w:p>
    <w:bookmarkStart w:id="64" w:name="flow"/>
    <w:p>
      <w:pPr>
        <w:pStyle w:val="Heading4"/>
      </w:pPr>
      <w:r>
        <w:t xml:space="preserve">Flow</w:t>
      </w:r>
    </w:p>
    <w:p>
      <w:pPr>
        <w:pStyle w:val="Compact"/>
        <w:numPr>
          <w:ilvl w:val="0"/>
          <w:numId w:val="1015"/>
        </w:numPr>
      </w:pPr>
      <w:r>
        <w:t xml:space="preserve">Storage key proposta:</w:t>
      </w:r>
      <w:r>
        <w:t xml:space="preserve"> </w:t>
      </w:r>
      <w:r>
        <w:rPr>
          <w:rStyle w:val="VerbatimChar"/>
        </w:rPr>
        <w:t xml:space="preserve">Flow(Symbol)</w:t>
      </w:r>
      <w:r>
        <w:t xml:space="preserve"> </w:t>
      </w:r>
      <w:r>
        <w:t xml:space="preserve">onde Symbol é o</w:t>
      </w:r>
      <w:r>
        <w:t xml:space="preserve"> </w:t>
      </w:r>
      <w:r>
        <w:rPr>
          <w:rStyle w:val="VerbatimChar"/>
        </w:rPr>
        <w:t xml:space="preserve">flow_external_id</w:t>
      </w:r>
    </w:p>
    <w:p>
      <w:pPr>
        <w:pStyle w:val="Compact"/>
        <w:numPr>
          <w:ilvl w:val="0"/>
          <w:numId w:val="1015"/>
        </w:numPr>
      </w:pPr>
      <w:r>
        <w:t xml:space="preserve">Fields:</w:t>
      </w:r>
      <w:r>
        <w:t xml:space="preserve"> </w:t>
      </w:r>
      <w:r>
        <w:rPr>
          <w:rStyle w:val="VerbatimChar"/>
        </w:rPr>
        <w:t xml:space="preserve">{ contract_ref_hash, current_state, predicates_satisfied, created_by, created_at }</w:t>
      </w:r>
    </w:p>
    <w:p>
      <w:pPr>
        <w:pStyle w:val="Compact"/>
        <w:numPr>
          <w:ilvl w:val="0"/>
          <w:numId w:val="1015"/>
        </w:numPr>
      </w:pPr>
      <w:r>
        <w:t xml:space="preserve">Necessário apenas para Nível 2/3 onde o fluxo completo é orquestrado on-chain.</w:t>
      </w:r>
    </w:p>
    <w:bookmarkEnd w:id="64"/>
    <w:bookmarkStart w:id="65" w:name="agent"/>
    <w:p>
      <w:pPr>
        <w:pStyle w:val="Heading4"/>
      </w:pPr>
      <w:r>
        <w:t xml:space="preserve">Agent</w:t>
      </w:r>
    </w:p>
    <w:p>
      <w:pPr>
        <w:pStyle w:val="Compact"/>
        <w:numPr>
          <w:ilvl w:val="0"/>
          <w:numId w:val="1016"/>
        </w:numPr>
      </w:pPr>
      <w:r>
        <w:t xml:space="preserve">Hoje materializado via</w:t>
      </w:r>
      <w:r>
        <w:t xml:space="preserve"> </w:t>
      </w:r>
      <w:r>
        <w:rPr>
          <w:rStyle w:val="VerbatimChar"/>
        </w:rPr>
        <w:t xml:space="preserve">Authorized(Address)</w:t>
      </w:r>
      <w:r>
        <w:t xml:space="preserve"> </w:t>
      </w:r>
      <w:r>
        <w:t xml:space="preserve">simples (bool)</w:t>
      </w:r>
    </w:p>
    <w:p>
      <w:pPr>
        <w:pStyle w:val="Compact"/>
        <w:numPr>
          <w:ilvl w:val="0"/>
          <w:numId w:val="1016"/>
        </w:numPr>
      </w:pPr>
      <w:r>
        <w:t xml:space="preserve">Extensão Gov: storage key</w:t>
      </w:r>
      <w:r>
        <w:t xml:space="preserve"> </w:t>
      </w:r>
      <w:r>
        <w:rPr>
          <w:rStyle w:val="VerbatimChar"/>
        </w:rPr>
        <w:t xml:space="preserve">Agent(Address)</w:t>
      </w:r>
      <w:r>
        <w:t xml:space="preserve"> </w:t>
      </w:r>
      <w:r>
        <w:t xml:space="preserve">com fields</w:t>
      </w:r>
      <w:r>
        <w:t xml:space="preserve"> </w:t>
      </w:r>
      <w:r>
        <w:rPr>
          <w:rStyle w:val="VerbatimChar"/>
        </w:rPr>
        <w:t xml:space="preserve">{ name, model_ref, capabilities, operator, registered_at, status }</w:t>
      </w:r>
      <w:r>
        <w:t xml:space="preserve">. Permite metadata rica do agente IA.</w:t>
      </w:r>
    </w:p>
    <w:bookmarkEnd w:id="65"/>
    <w:bookmarkStart w:id="66" w:name="statetransition"/>
    <w:p>
      <w:pPr>
        <w:pStyle w:val="Heading4"/>
      </w:pPr>
      <w:r>
        <w:t xml:space="preserve">StateTransition</w:t>
      </w:r>
    </w:p>
    <w:p>
      <w:pPr>
        <w:pStyle w:val="Compact"/>
        <w:numPr>
          <w:ilvl w:val="0"/>
          <w:numId w:val="1017"/>
        </w:numPr>
      </w:pPr>
      <w:r>
        <w:t xml:space="preserve">Storage key proposta:</w:t>
      </w:r>
      <w:r>
        <w:t xml:space="preserve"> </w:t>
      </w:r>
      <w:r>
        <w:rPr>
          <w:rStyle w:val="VerbatimChar"/>
        </w:rPr>
        <w:t xml:space="preserve">Transition(Symbol, u64)</w:t>
      </w:r>
      <w:r>
        <w:t xml:space="preserve"> </w:t>
      </w:r>
      <w:r>
        <w:t xml:space="preserve">onde Symbol é</w:t>
      </w:r>
      <w:r>
        <w:t xml:space="preserve"> </w:t>
      </w:r>
      <w:r>
        <w:rPr>
          <w:rStyle w:val="VerbatimChar"/>
        </w:rPr>
        <w:t xml:space="preserve">flow_id</w:t>
      </w:r>
      <w:r>
        <w:t xml:space="preserve"> </w:t>
      </w:r>
      <w:r>
        <w:t xml:space="preserve">e u64 é o</w:t>
      </w:r>
      <w:r>
        <w:t xml:space="preserve"> </w:t>
      </w:r>
      <w:r>
        <w:rPr>
          <w:rStyle w:val="VerbatimChar"/>
        </w:rPr>
        <w:t xml:space="preserve">sequence</w:t>
      </w:r>
    </w:p>
    <w:p>
      <w:pPr>
        <w:pStyle w:val="Compact"/>
        <w:numPr>
          <w:ilvl w:val="0"/>
          <w:numId w:val="1017"/>
        </w:numPr>
      </w:pPr>
      <w:r>
        <w:t xml:space="preserve">Fields:</w:t>
      </w:r>
      <w:r>
        <w:t xml:space="preserve"> </w:t>
      </w:r>
      <w:r>
        <w:rPr>
          <w:rStyle w:val="VerbatimChar"/>
        </w:rPr>
        <w:t xml:space="preserve">{ from_state, to_state, predicates_satisfied, timestamp, signer }</w:t>
      </w:r>
    </w:p>
    <w:p>
      <w:pPr>
        <w:pStyle w:val="Compact"/>
        <w:numPr>
          <w:ilvl w:val="0"/>
          <w:numId w:val="1017"/>
        </w:numPr>
      </w:pPr>
      <w:r>
        <w:t xml:space="preserve">Permite reconstruir histórico de transições de um fluxo a partir do storage on-chain.</w:t>
      </w:r>
    </w:p>
    <w:p>
      <w:pPr>
        <w:pStyle w:val="FirstParagraph"/>
      </w:pPr>
      <w:r>
        <w:t xml:space="preserve">A decisão entre extensão do contrato atual versus contrato Soroban dedicado depende de governance: contratos Soroban são imutáveis após deploy, então adicionar funções requer novo deploy com novo</w:t>
      </w:r>
      <w:r>
        <w:t xml:space="preserve"> </w:t>
      </w:r>
      <w:r>
        <w:rPr>
          <w:rStyle w:val="VerbatimChar"/>
        </w:rPr>
        <w:t xml:space="preserve">contract_id</w:t>
      </w:r>
      <w:r>
        <w:t xml:space="preserve">. Estratégia recomendada: manter o</w:t>
      </w:r>
      <w:r>
        <w:t xml:space="preserve"> </w:t>
      </w:r>
      <w:r>
        <w:rPr>
          <w:rStyle w:val="VerbatimChar"/>
        </w:rPr>
        <w:t xml:space="preserve">anticorruption-attestation</w:t>
      </w:r>
      <w:r>
        <w:t xml:space="preserve"> </w:t>
      </w:r>
      <w:r>
        <w:t xml:space="preserve">atual estável e focado em registro de atestação simples; o módulo Gov completo (Flow + Agent + StateTransition) entra como contrato Soroban dedicado deployed quando o Nível 2 estiver maduro.</w:t>
      </w:r>
    </w:p>
    <w:bookmarkEnd w:id="66"/>
    <w:bookmarkEnd w:id="67"/>
    <w:bookmarkEnd w:id="68"/>
    <w:bookmarkStart w:id="69" w:name="d.-considerações-de-segurança"/>
    <w:p>
      <w:pPr>
        <w:pStyle w:val="Heading2"/>
      </w:pPr>
      <w:r>
        <w:t xml:space="preserve">D. Considerações de segurança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Submitter authentication.</w:t>
      </w:r>
      <w:r>
        <w:t xml:space="preserve"> </w:t>
      </w:r>
      <w:r>
        <w:t xml:space="preserve">Servidor público autentica via gov.br ou ICP-Brasil; mapeamento gov.br para keypair Stellar (Ed25519) gerenciado pela camada do time do Paulo. O contrato Soroban recebe apenas o endereço Stellar do submitter e o</w:t>
      </w:r>
      <w:r>
        <w:t xml:space="preserve"> </w:t>
      </w:r>
      <w:r>
        <w:rPr>
          <w:rStyle w:val="VerbatimChar"/>
        </w:rPr>
        <w:t xml:space="preserve">evidence_hash</w:t>
      </w:r>
      <w:r>
        <w:t xml:space="preserve">; nenhum dado pessoal trafega no contrato. Multisig nativa do Stellar pode ser usada na conta do ente para exigir N-de-M assinaturas em operações críticas.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Document hashing.</w:t>
      </w:r>
      <w:r>
        <w:t xml:space="preserve"> </w:t>
      </w:r>
      <w:r>
        <w:t xml:space="preserve">SHA-256 do documento original. Conteúdo nunca sobe. Storage do documento permanece no ente público ou em camada off-chain definida em conjunto com o ente.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Predicate immutability.</w:t>
      </w:r>
      <w:r>
        <w:t xml:space="preserve"> </w:t>
      </w:r>
      <w:r>
        <w:t xml:space="preserve">Predicados ativos não podem ser alterados, apenas substituídos por nova versão via</w:t>
      </w:r>
      <w:r>
        <w:t xml:space="preserve"> </w:t>
      </w:r>
      <w:r>
        <w:rPr>
          <w:rStyle w:val="VerbatimChar"/>
        </w:rPr>
        <w:t xml:space="preserve">configure_use_case</w:t>
      </w:r>
      <w:r>
        <w:t xml:space="preserve">. O versionamento (</w:t>
      </w:r>
      <w:r>
        <w:rPr>
          <w:rStyle w:val="VerbatimChar"/>
        </w:rPr>
        <w:t xml:space="preserve">predicate_version: u32</w:t>
      </w:r>
      <w:r>
        <w:t xml:space="preserve">) preserva auditoria histórica de fluxos já executados.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Agent revocation.</w:t>
      </w:r>
      <w:r>
        <w:t xml:space="preserve"> </w:t>
      </w:r>
      <w:r>
        <w:t xml:space="preserve">O mecanismo</w:t>
      </w:r>
      <w:r>
        <w:t xml:space="preserve"> </w:t>
      </w:r>
      <w:r>
        <w:rPr>
          <w:rStyle w:val="VerbatimChar"/>
        </w:rPr>
        <w:t xml:space="preserve">authorize_submitter(allowed: false)</w:t>
      </w:r>
      <w:r>
        <w:t xml:space="preserve"> </w:t>
      </w:r>
      <w:r>
        <w:t xml:space="preserve">revoga um submitter. Atestações geradas antes da revogação permanecem válidas; novas operações por submitter revogado são rejeitadas com erro</w:t>
      </w:r>
      <w:r>
        <w:t xml:space="preserve"> </w:t>
      </w:r>
      <w:r>
        <w:rPr>
          <w:rStyle w:val="VerbatimChar"/>
        </w:rPr>
        <w:t xml:space="preserve">NotAuthorized (#1)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Audit access.</w:t>
      </w:r>
      <w:r>
        <w:t xml:space="preserve"> </w:t>
      </w:r>
      <w:r>
        <w:t xml:space="preserve">Stellar é blockchain pública; qualquer um pode auditar via Stellar Expert ou Horizon API. Para dados sensíveis com restrição de publicidade legal, hashing oferece privacidade prática enquanto preserva verificabilidade.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Rate limiting.</w:t>
      </w:r>
      <w:r>
        <w:t xml:space="preserve"> </w:t>
      </w:r>
      <w:r>
        <w:t xml:space="preserve">MCP server expõe rate limits por operador e namespace. Gateway REST do piloto também aplica rate limit por API key (default 30 req/min, configurável por tenant). Logs de uso são preservados para auditoria interna.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Imutabilidade do contrato.</w:t>
      </w:r>
      <w:r>
        <w:t xml:space="preserve"> </w:t>
      </w:r>
      <w:r>
        <w:t xml:space="preserve">O contrato</w:t>
      </w:r>
      <w:r>
        <w:t xml:space="preserve"> </w:t>
      </w:r>
      <w:r>
        <w:rPr>
          <w:rStyle w:val="VerbatimChar"/>
        </w:rPr>
        <w:t xml:space="preserve">anticorruption-attestation</w:t>
      </w:r>
      <w:r>
        <w:t xml:space="preserve"> </w:t>
      </w:r>
      <w:r>
        <w:t xml:space="preserve">é imutável por design — não tem proxy, não tem upgrade. Em mainnet, isso significa que vulnerabilidades só são corrigíveis via novo deploy com novo</w:t>
      </w:r>
      <w:r>
        <w:t xml:space="preserve"> </w:t>
      </w:r>
      <w:r>
        <w:rPr>
          <w:rStyle w:val="VerbatimChar"/>
        </w:rPr>
        <w:t xml:space="preserve">contract_id</w:t>
      </w:r>
      <w:r>
        <w:t xml:space="preserve"> </w:t>
      </w:r>
      <w:r>
        <w:t xml:space="preserve">e migração explícita do estado. Trade-off consciente: imutabilidade é o argumento de venda institucional.</w:t>
      </w:r>
    </w:p>
    <w:bookmarkEnd w:id="69"/>
    <w:bookmarkStart w:id="70" w:name="X980f8d3fe18db6b9f1896f2605545582e3717a3"/>
    <w:p>
      <w:pPr>
        <w:pStyle w:val="Heading2"/>
      </w:pPr>
      <w:r>
        <w:t xml:space="preserve">E. LGPD setor público e interoperabilidade</w:t>
      </w:r>
    </w:p>
    <w:p>
      <w:pPr>
        <w:pStyle w:val="FirstParagraph"/>
      </w:pPr>
      <w:r>
        <w:t xml:space="preserve">DPO2U-Gov foi pensado para operar dentro das restrições da LGPD aplicada ao setor público. Princípios operacionais:</w:t>
      </w:r>
    </w:p>
    <w:p>
      <w:pPr>
        <w:numPr>
          <w:ilvl w:val="0"/>
          <w:numId w:val="1019"/>
        </w:numPr>
      </w:pPr>
      <w:r>
        <w:t xml:space="preserve">Nenhum dado pessoal bruto sobe para a blockchain. Apenas hashes e metadados estruturais.</w:t>
      </w:r>
    </w:p>
    <w:p>
      <w:pPr>
        <w:numPr>
          <w:ilvl w:val="0"/>
          <w:numId w:val="1019"/>
        </w:numPr>
      </w:pPr>
      <w:r>
        <w:t xml:space="preserve">Base legal aplicável é tipicamente cumprimento de obrigação legal ou exercício regular de competências (art. 23 LGPD), validada pelo encarregado do ente público.</w:t>
      </w:r>
    </w:p>
    <w:p>
      <w:pPr>
        <w:numPr>
          <w:ilvl w:val="0"/>
          <w:numId w:val="1019"/>
        </w:numPr>
      </w:pPr>
      <w:r>
        <w:t xml:space="preserve">Direito do titular é exercido sobre o documento off-chain. A atestação on-chain permanece como prova de que o documento existiu naquele estado em determinado momento.</w:t>
      </w:r>
    </w:p>
    <w:p>
      <w:pPr>
        <w:numPr>
          <w:ilvl w:val="0"/>
          <w:numId w:val="1019"/>
        </w:numPr>
      </w:pPr>
      <w:r>
        <w:t xml:space="preserve">Compatibilidade com Lei 14.129/21 (Governo Digital) e princípios de interoperabilidade da Plataforma de Cidadania Digital.</w:t>
      </w:r>
    </w:p>
    <w:p>
      <w:pPr>
        <w:numPr>
          <w:ilvl w:val="0"/>
          <w:numId w:val="1019"/>
        </w:numPr>
      </w:pPr>
      <w:r>
        <w:t xml:space="preserve">Encarregado do ente público recebe documentação completa do fluxo de tratamento para registro em ROPA.</w:t>
      </w:r>
    </w:p>
    <w:p>
      <w:pPr>
        <w:numPr>
          <w:ilvl w:val="0"/>
          <w:numId w:val="1019"/>
        </w:numPr>
      </w:pPr>
      <w:r>
        <w:t xml:space="preserve">Erasure (LGPD Art. 18): suporte explícito no gateway REST via endpoint</w:t>
      </w:r>
      <w:r>
        <w:t xml:space="preserve"> </w:t>
      </w:r>
      <w:r>
        <w:rPr>
          <w:rStyle w:val="VerbatimChar"/>
        </w:rPr>
        <w:t xml:space="preserve">/api/v1/attestation/erasure-request</w:t>
      </w:r>
      <w:r>
        <w:t xml:space="preserve">. A solicitação gera nova atestação</w:t>
      </w:r>
      <w:r>
        <w:t xml:space="preserve"> </w:t>
      </w:r>
      <w:r>
        <w:rPr>
          <w:rStyle w:val="VerbatimChar"/>
        </w:rPr>
        <w:t xml:space="preserve">erasure_v1</w:t>
      </w:r>
      <w:r>
        <w:t xml:space="preserve"> </w:t>
      </w:r>
      <w:r>
        <w:t xml:space="preserve">no contrato Soroban, vinculando o hash da evidência original a um pedido de apagamento — preservando a trilha auditável sem apagar o registro do tratamento original (que é o que o auditor precisa ver).</w:t>
      </w:r>
    </w:p>
    <w:bookmarkEnd w:id="70"/>
    <w:bookmarkStart w:id="71" w:name="f.-perguntas-para-o-workshop"/>
    <w:p>
      <w:pPr>
        <w:pStyle w:val="Heading2"/>
      </w:pPr>
      <w:r>
        <w:t xml:space="preserve">F. Perguntas para o workshop</w:t>
      </w:r>
    </w:p>
    <w:p>
      <w:pPr>
        <w:pStyle w:val="FirstParagraph"/>
      </w:pPr>
      <w:r>
        <w:t xml:space="preserve">Pontos técnicos a fechar com as duas desenvolvedoras na primeira sessão conjunta:</w:t>
      </w:r>
    </w:p>
    <w:p>
      <w:pPr>
        <w:numPr>
          <w:ilvl w:val="0"/>
          <w:numId w:val="1020"/>
        </w:numPr>
      </w:pPr>
      <w:r>
        <w:t xml:space="preserve">Stack atual de desenvolvimento: linguagens, frameworks, experiência prévia com integração de APIs de governo.</w:t>
      </w:r>
    </w:p>
    <w:p>
      <w:pPr>
        <w:numPr>
          <w:ilvl w:val="0"/>
          <w:numId w:val="1020"/>
        </w:numPr>
      </w:pPr>
      <w:r>
        <w:t xml:space="preserve">Cliente IA: vai usar LLM hospedado (Claude, GPT) ou modelo próprio? Onde roda — servidor do ente, infra dedicada?</w:t>
      </w:r>
    </w:p>
    <w:p>
      <w:pPr>
        <w:numPr>
          <w:ilvl w:val="0"/>
          <w:numId w:val="1020"/>
        </w:numPr>
      </w:pPr>
      <w:r>
        <w:t xml:space="preserve">Sistema de pagamento do ente: SIAFI federal, SIAFEM estadual, sistema próprio municipal.</w:t>
      </w:r>
    </w:p>
    <w:p>
      <w:pPr>
        <w:numPr>
          <w:ilvl w:val="0"/>
          <w:numId w:val="1020"/>
        </w:numPr>
      </w:pPr>
      <w:r>
        <w:t xml:space="preserve">Volume esperado no piloto: número de fluxos por mês, número de documentos por fluxo, picos sazonais.</w:t>
      </w:r>
    </w:p>
    <w:p>
      <w:pPr>
        <w:numPr>
          <w:ilvl w:val="0"/>
          <w:numId w:val="1020"/>
        </w:numPr>
      </w:pPr>
      <w:r>
        <w:t xml:space="preserve">Política de logs e retenção do ente público: quanto tempo mantém o quê, sob qual base legal.</w:t>
      </w:r>
    </w:p>
    <w:p>
      <w:pPr>
        <w:numPr>
          <w:ilvl w:val="0"/>
          <w:numId w:val="1020"/>
        </w:numPr>
      </w:pPr>
      <w:r>
        <w:t xml:space="preserve">Quem opera a chave Stellar do ente público em produção? Custódia, multisig (suporte nativo na rede Stellar), HSM externo.</w:t>
      </w:r>
    </w:p>
    <w:p>
      <w:pPr>
        <w:numPr>
          <w:ilvl w:val="0"/>
          <w:numId w:val="1020"/>
        </w:numPr>
      </w:pPr>
      <w:r>
        <w:t xml:space="preserve">Quais oráculos são prioridade na Fase 1 — qual a sequência de implementação?</w:t>
      </w:r>
    </w:p>
    <w:p>
      <w:pPr>
        <w:numPr>
          <w:ilvl w:val="0"/>
          <w:numId w:val="1020"/>
        </w:numPr>
      </w:pPr>
      <w:r>
        <w:t xml:space="preserve">Calendário do CPSI ou instrumento equivalente: prazo, documentação exigida, parecer jurídico necessário.</w:t>
      </w:r>
    </w:p>
    <w:bookmarkEnd w:id="71"/>
    <w:bookmarkStart w:id="80" w:name="Xf86d9a662f3bcf49922818d0f816dcf6def2cb7"/>
    <w:p>
      <w:pPr>
        <w:pStyle w:val="Heading2"/>
      </w:pPr>
      <w:r>
        <w:t xml:space="preserve">G. Estado da implementação testnet (apêndice novo da v0.5)</w:t>
      </w:r>
    </w:p>
    <w:p>
      <w:pPr>
        <w:pStyle w:val="FirstParagraph"/>
      </w:pPr>
      <w:r>
        <w:t xml:space="preserve">Inventário do que já está construído no repositório</w:t>
      </w:r>
      <w:r>
        <w:t xml:space="preserve"> </w:t>
      </w:r>
      <w:r>
        <w:rPr>
          <w:rStyle w:val="VerbatimChar"/>
        </w:rPr>
        <w:t xml:space="preserve">github.com/fredericosanntana/dpo2u-stellar</w:t>
      </w:r>
      <w:r>
        <w:t xml:space="preserve"> </w:t>
      </w:r>
      <w:r>
        <w:t xml:space="preserve">em 18 de maio de 2026.</w:t>
      </w:r>
    </w:p>
    <w:bookmarkStart w:id="72" w:name="g.1.-contrato-soroban"/>
    <w:p>
      <w:pPr>
        <w:pStyle w:val="Heading3"/>
      </w:pPr>
      <w:r>
        <w:t xml:space="preserve">G.1. Contrato Soroban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contracts/anticorruption-attestation/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Linguagem:</w:t>
      </w:r>
      <w:r>
        <w:t xml:space="preserve"> </w:t>
      </w:r>
      <w:r>
        <w:t xml:space="preserve">Rust 1.83, soroban-sdk 26.0.0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Wasm otimizado:</w:t>
      </w:r>
      <w:r>
        <w:t xml:space="preserve"> </w:t>
      </w:r>
      <w:r>
        <w:t xml:space="preserve">5.8 KB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Deploy testnet:</w:t>
      </w:r>
      <w:r>
        <w:t xml:space="preserve"> </w:t>
      </w:r>
      <w:r>
        <w:t xml:space="preserve">2026-05-12, contract ID</w:t>
      </w:r>
      <w:r>
        <w:t xml:space="preserve"> </w:t>
      </w:r>
      <w:r>
        <w:rPr>
          <w:rStyle w:val="VerbatimChar"/>
        </w:rPr>
        <w:t xml:space="preserve">CC4TJGDRWZOPGBWOOHBJF3N2VKUQRNIW6C6PTYHD7ZI3D42GBQRRZHM5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Stellar Expert:</w:t>
      </w:r>
      <w:r>
        <w:t xml:space="preserve"> </w:t>
      </w:r>
      <w:r>
        <w:t xml:space="preserve">https://stellar.expert/explorer/testnet/contract/CC4TJGDRWZOPGBWOOHBJF3N2VKUQRNIW6C6PTYHD7ZI3D42GBQRRZHM5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Testes:</w:t>
      </w:r>
      <w:r>
        <w:t xml:space="preserve"> </w:t>
      </w:r>
      <w:r>
        <w:t xml:space="preserve">10/10 unitários verdes + 161 testes E2E via SDK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CI:</w:t>
      </w:r>
      <w:r>
        <w:t xml:space="preserve"> </w:t>
      </w:r>
      <w:r>
        <w:t xml:space="preserve">per-push GitHub Actions com</w:t>
      </w:r>
      <w:r>
        <w:t xml:space="preserve"> </w:t>
      </w:r>
      <w:r>
        <w:rPr>
          <w:rStyle w:val="VerbatimChar"/>
        </w:rPr>
        <w:t xml:space="preserve">cargo fmt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clippy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stellar contract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audit</w:t>
      </w:r>
    </w:p>
    <w:bookmarkEnd w:id="72"/>
    <w:bookmarkStart w:id="73" w:name="g.2.-sdk-e-cli-auditor"/>
    <w:p>
      <w:pPr>
        <w:pStyle w:val="Heading3"/>
      </w:pPr>
      <w:r>
        <w:t xml:space="preserve">G.2. SDK e CLI auditor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@dpo2u/stellar-sdk</w:t>
      </w:r>
      <w:r>
        <w:t xml:space="preserve"> </w:t>
      </w:r>
      <w:r>
        <w:t xml:space="preserve">(TypeScript, Node 22+)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CLI:</w:t>
      </w:r>
      <w:r>
        <w:t xml:space="preserve"> </w:t>
      </w:r>
      <w:r>
        <w:rPr>
          <w:rStyle w:val="VerbatimChar"/>
        </w:rPr>
        <w:t xml:space="preserve">dpo2u-attest verify &lt;use_case&gt; &lt;evidence_hash&gt;</w:t>
      </w:r>
      <w:r>
        <w:t xml:space="preserve"> </w:t>
      </w:r>
      <w:r>
        <w:t xml:space="preserve">— leitura trustless, zero credenciais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sdk/src/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Exit codes:</w:t>
      </w:r>
      <w:r>
        <w:t xml:space="preserve"> </w:t>
      </w:r>
      <w:r>
        <w:t xml:space="preserve">0 PASS, 3 FAIL, 4 REVIEW, 1 NOT_FOUND</w:t>
      </w:r>
    </w:p>
    <w:bookmarkEnd w:id="73"/>
    <w:bookmarkStart w:id="74" w:name="X2b7c8811270b25615792c53d5e8fda7e0b63a30"/>
    <w:p>
      <w:pPr>
        <w:pStyle w:val="Heading3"/>
      </w:pPr>
      <w:r>
        <w:t xml:space="preserve">G.3. Pilot Gateway (operator console backend)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/root/DPO2U/packages/pilot-gateway/</w:t>
      </w:r>
      <w:r>
        <w:t xml:space="preserve"> </w:t>
      </w:r>
      <w:r>
        <w:t xml:space="preserve">(monorepo DPO2U)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Node 22, Express 5, TypeScript,</w:t>
      </w:r>
      <w:r>
        <w:t xml:space="preserve"> </w:t>
      </w:r>
      <w:r>
        <w:t xml:space="preserve">@stellar/stellar-sdk</w:t>
      </w:r>
      <w:r>
        <w:t xml:space="preserve"> </w:t>
      </w:r>
      <w:r>
        <w:t xml:space="preserve">14.6.1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GET /api/v1/healthz</w:t>
      </w:r>
      <w:r>
        <w:t xml:space="preserve"> </w:t>
      </w:r>
      <w:r>
        <w:t xml:space="preserve">(auth-required)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POST /api/v1/attestation/submit</w:t>
      </w:r>
      <w:r>
        <w:t xml:space="preserve"> </w:t>
      </w:r>
      <w:r>
        <w:t xml:space="preserve">(use case</w:t>
      </w:r>
      <w:r>
        <w:t xml:space="preserve"> </w:t>
      </w:r>
      <w:r>
        <w:rPr>
          <w:rStyle w:val="VerbatimChar"/>
        </w:rPr>
        <w:t xml:space="preserve">bank_chg</w:t>
      </w:r>
      <w:r>
        <w:t xml:space="preserve">, 5 predicates determinísticos)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GET /api/v1/attestation/:attempt_id</w:t>
      </w:r>
      <w:r>
        <w:t xml:space="preserve"> </w:t>
      </w:r>
      <w:r>
        <w:t xml:space="preserve">(polling)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POST /api/v1/attestation/erasure-request</w:t>
      </w:r>
      <w:r>
        <w:t xml:space="preserve"> </w:t>
      </w:r>
      <w:r>
        <w:t xml:space="preserve">(LGPD Art. 18)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Signer:</w:t>
      </w:r>
      <w:r>
        <w:t xml:space="preserve"> </w:t>
      </w:r>
      <w:r>
        <w:t xml:space="preserve">conta dedicada</w:t>
      </w:r>
      <w:r>
        <w:t xml:space="preserve"> </w:t>
      </w:r>
      <w:r>
        <w:rPr>
          <w:rStyle w:val="VerbatimChar"/>
        </w:rPr>
        <w:t xml:space="preserve">gateway-signer</w:t>
      </w:r>
      <w:r>
        <w:t xml:space="preserve"> </w:t>
      </w:r>
      <w:r>
        <w:t xml:space="preserve">(</w:t>
      </w:r>
      <w:r>
        <w:rPr>
          <w:rStyle w:val="VerbatimChar"/>
        </w:rPr>
        <w:t xml:space="preserve">GAD3DAM5JTVWZSWTENR443Y6OKUKRX7EOZYCCN3JEWKEFUTEPY4LSI65</w:t>
      </w:r>
      <w:r>
        <w:t xml:space="preserve">), autorizada como submitter no contrato em tx</w:t>
      </w:r>
      <w:r>
        <w:t xml:space="preserve"> </w:t>
      </w:r>
      <w:r>
        <w:rPr>
          <w:rStyle w:val="VerbatimChar"/>
        </w:rPr>
        <w:t xml:space="preserve">45214cbe28d9bb534c08f17d3f165c8552c68a58e151a9b9753cf4b1b5ad003c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Operator console:</w:t>
      </w:r>
      <w:r>
        <w:t xml:space="preserve"> </w:t>
      </w:r>
      <w:r>
        <w:rPr>
          <w:rStyle w:val="VerbatimChar"/>
        </w:rPr>
        <w:t xml:space="preserve">mcp.dpo2u.com/pilot/login</w:t>
      </w:r>
      <w:r>
        <w:t xml:space="preserve"> </w:t>
      </w:r>
      <w:r>
        <w:t xml:space="preserve">(CTA ativo)</w:t>
      </w:r>
    </w:p>
    <w:bookmarkEnd w:id="74"/>
    <w:bookmarkStart w:id="77" w:name="g.4.-demos-reproduzíveis-end-to-end"/>
    <w:p>
      <w:pPr>
        <w:pStyle w:val="Heading3"/>
      </w:pPr>
      <w:r>
        <w:t xml:space="preserve">G.4. Demos reproduzíveis end-to-end</w:t>
      </w:r>
    </w:p>
    <w:p>
      <w:pPr>
        <w:pStyle w:val="FirstParagraph"/>
      </w:pPr>
      <w:r>
        <w:t xml:space="preserve">Script único</w:t>
      </w:r>
      <w:r>
        <w:t xml:space="preserve"> </w:t>
      </w:r>
      <w:r>
        <w:rPr>
          <w:rStyle w:val="VerbatimChar"/>
        </w:rPr>
        <w:t xml:space="preserve">scripts/demo-pilot-marica-fluxo-completo.sh</w:t>
      </w:r>
      <w:r>
        <w:t xml:space="preserve"> </w:t>
      </w:r>
      <w:r>
        <w:t xml:space="preserve">encadeia: login no console → submit do payload → polling até COMPLETED → verificação trustless via CLI auditor. Duas atestações reais já produzidas durante a fase de demonstração: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1056"/>
        <w:gridCol w:w="2112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Legítimo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VerbatimChar"/>
                </w:rPr>
                <w:t xml:space="preserve">c573ddc5…fc6c2002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2.621.105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Fraude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VerbatimChar"/>
                </w:rPr>
                <w:t xml:space="preserve">9d2a7bbc…d6d0d302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2.621.109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3/5</w:t>
            </w:r>
          </w:p>
        </w:tc>
      </w:tr>
    </w:tbl>
    <w:p>
      <w:pPr>
        <w:pStyle w:val="BodyText"/>
      </w:pPr>
      <w:r>
        <w:t xml:space="preserve">Run reports JSON arquivados em</w:t>
      </w:r>
      <w:r>
        <w:t xml:space="preserve"> </w:t>
      </w:r>
      <w:r>
        <w:rPr>
          <w:rStyle w:val="VerbatimChar"/>
        </w:rPr>
        <w:t xml:space="preserve">docs/demos/runs/2026-05-18T*.json</w:t>
      </w:r>
      <w:r>
        <w:t xml:space="preserve">. Vídeo institucional PT-BR (2:38) com identidade sealed DPO2U em</w:t>
      </w:r>
      <w:r>
        <w:t xml:space="preserve"> </w:t>
      </w:r>
      <w:r>
        <w:rPr>
          <w:rStyle w:val="VerbatimChar"/>
        </w:rPr>
        <w:t xml:space="preserve">07-Content/videos/2026-05-18-pilot-marica-fluxo-completo-v2-sealed.mp4</w:t>
      </w:r>
      <w:r>
        <w:t xml:space="preserve">. Doc walkthrough institucional em</w:t>
      </w:r>
      <w:r>
        <w:t xml:space="preserve"> </w:t>
      </w:r>
      <w:r>
        <w:rPr>
          <w:rStyle w:val="VerbatimChar"/>
        </w:rPr>
        <w:t xml:space="preserve">docs/demos/2026-05-18-pilot-marica-fluxo-completo.md</w:t>
      </w:r>
      <w:r>
        <w:t xml:space="preserve">.</w:t>
      </w:r>
    </w:p>
    <w:bookmarkEnd w:id="77"/>
    <w:bookmarkStart w:id="78" w:name="g.5.-documentação-institucional"/>
    <w:p>
      <w:pPr>
        <w:pStyle w:val="Heading3"/>
      </w:pPr>
      <w:r>
        <w:t xml:space="preserve">G.5. Documentação institucional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docs/RUNBOOK.md</w:t>
      </w:r>
      <w:r>
        <w:t xml:space="preserve"> </w:t>
      </w:r>
      <w:r>
        <w:t xml:space="preserve">— operações, incident playbooks, P0–P3 escalation matrix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docs/THREAT-MODEL-Piloto-v0.1.md</w:t>
      </w:r>
      <w:r>
        <w:t xml:space="preserve"> </w:t>
      </w:r>
      <w:r>
        <w:t xml:space="preserve">— modelo de ameaças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docs/DPIA-Piloto-Anticorrupcao-v0.1.md</w:t>
      </w:r>
      <w:r>
        <w:t xml:space="preserve"> </w:t>
      </w:r>
      <w:r>
        <w:t xml:space="preserve">— Data Protection Impact Assessment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— checklist auditoria de segurança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docs/MAINNET-CEREMONY.md</w:t>
      </w:r>
      <w:r>
        <w:t xml:space="preserve"> </w:t>
      </w:r>
      <w:r>
        <w:t xml:space="preserve">— cerimônia de deploy mainnet (gate humano explícito)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docs/mainnet-readiness-checklist.md</w:t>
      </w:r>
      <w:r>
        <w:t xml:space="preserve"> </w:t>
      </w:r>
      <w:r>
        <w:t xml:space="preserve">— checklist pré-mainnet</w:t>
      </w:r>
    </w:p>
    <w:bookmarkEnd w:id="78"/>
    <w:bookmarkStart w:id="79" w:name="g.6.-o-que-ainda-não-existe"/>
    <w:p>
      <w:pPr>
        <w:pStyle w:val="Heading3"/>
      </w:pPr>
      <w:r>
        <w:t xml:space="preserve">G.6. O que ainda não existe</w:t>
      </w:r>
    </w:p>
    <w:p>
      <w:pPr>
        <w:pStyle w:val="FirstParagraph"/>
      </w:pPr>
      <w:r>
        <w:t xml:space="preserve">Para honestidade institucional: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AgentRegistry completo em contrato Soroban dedicado</w:t>
      </w:r>
      <w:r>
        <w:t xml:space="preserve"> </w:t>
      </w:r>
      <w:r>
        <w:t xml:space="preserve">— hoje materializado via</w:t>
      </w:r>
      <w:r>
        <w:t xml:space="preserve"> </w:t>
      </w:r>
      <w:r>
        <w:rPr>
          <w:rStyle w:val="VerbatimChar"/>
        </w:rPr>
        <w:t xml:space="preserve">Authorized(Address)</w:t>
      </w:r>
      <w:r>
        <w:t xml:space="preserve"> </w:t>
      </w:r>
      <w:r>
        <w:t xml:space="preserve">simples. Roadmap pós-Nível 1.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Flow + StateTransition on-chain</w:t>
      </w:r>
      <w:r>
        <w:t xml:space="preserve"> </w:t>
      </w:r>
      <w:r>
        <w:t xml:space="preserve">— o gateway hoje mantém estado off-chain (PostgreSQL via volume Docker); apenas o veredito final é ancorado. Roadmap Nível 2.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MCP Gov server completo com tools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gov_*</w:t>
      </w:r>
      <w:r>
        <w:t xml:space="preserve"> </w:t>
      </w:r>
      <w:r>
        <w:t xml:space="preserve">— as primeiras três tools (</w:t>
      </w:r>
      <w:r>
        <w:rPr>
          <w:rStyle w:val="VerbatimChar"/>
        </w:rPr>
        <w:t xml:space="preserve">gov_predicate_evaluate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gov_document_attest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gov_audit_trail_query</w:t>
      </w:r>
      <w:r>
        <w:t xml:space="preserve">) estão demonstráveis via gateway REST; servidor MCP dedicado entra na Fase 1.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Oráculos brasileiros</w:t>
      </w:r>
      <w:r>
        <w:t xml:space="preserve"> </w:t>
      </w:r>
      <w:r>
        <w:t xml:space="preserve">— responsabilidade do time do Paulo. CEIS, CNEP, Receita, gov.br, Caixa.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Mainnet deploy</w:t>
      </w:r>
      <w:r>
        <w:t xml:space="preserve"> </w:t>
      </w:r>
      <w:r>
        <w:t xml:space="preserve">— bloqueado pela conclusão da auditoria externa de segurança (M5, 2026-05-30) e pela cerimônia documentada em</w:t>
      </w:r>
      <w:r>
        <w:t xml:space="preserve"> </w:t>
      </w:r>
      <w:r>
        <w:rPr>
          <w:rStyle w:val="VerbatimChar"/>
        </w:rPr>
        <w:t xml:space="preserve">docs/MAINNET-CEREMONY.md</w:t>
      </w:r>
      <w:r>
        <w:t xml:space="preserve"> </w:t>
      </w:r>
      <w:r>
        <w:t xml:space="preserve">com gate humano explícito do Chairman + ordenador do ente.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Este documento é a versão 0.5 do PRD DPO2U-Gov, atualizada após o primeiro deploy real em Stellar testnet em 12 de maio de 2026 e a primeira demonstração end-to-end em 18 de maio de 2026. A versão 0.4 referenciava Solana como camada on-chain; a v0.5 reflete a escolha implementada de Stellar Soroban, com argumentos institucionais correspondentes na §9. Sujeito a revisão após primeira reunião conjunta com Paulo e equipe. Modelo comercial e instrumentos jurídicos formais ficam para conversa específica posterior.</w:t>
      </w:r>
    </w:p>
    <w:bookmarkEnd w:id="79"/>
    <w:bookmarkEnd w:id="80"/>
    <w:bookmarkEnd w:id="81"/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660"/>
        <w:sz w:val="16"/>
        <w:szCs w:val="16"/>
      </w:rPr>
      <w:t xml:space="preserve">Página </w:t>
    </w:r>
    <w:r>
      <w:rPr>
        <w:color w:val="6B6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6660"/>
        <w:sz w:val="16"/>
        <w:szCs w:val="16"/>
      </w:rPr>
      <w:t xml:space="preserve">DPO2U · PRD Piloto Anticorrupção · v0.3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80" w:left="540"/>
      </w:pPr>
      <w:rPr>
        <w:color w:val="C1512C"/>
      </w:r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280" w:left="5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40E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5140E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5140E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C1512C"/>
      <w:sz w:val="22"/>
      <w:szCs w:val="22"/>
    </w:rPr>
  </w:style>
  <w:style w:styleId="Heading4" w:type="paragraph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5140E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76" Target="https://stellar.expert/explorer/testnet/tx/9d2a7bbcb1568d88c192788ecb526c0914a1ff156f39b6a20ca6725ed6d0d302" TargetMode="External" /><Relationship Type="http://schemas.openxmlformats.org/officeDocument/2006/relationships/hyperlink" Id="rId75" Target="https://stellar.expert/explorer/testnet/tx/c573ddc586232a032c0dbbc42421de343f4329813f2b53551e786413fc6c2002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stellar.expert/explorer/testnet/tx/9d2a7bbcb1568d88c192788ecb526c0914a1ff156f39b6a20ca6725ed6d0d302" TargetMode="External" /><Relationship Type="http://schemas.openxmlformats.org/officeDocument/2006/relationships/hyperlink" Id="rId75" Target="https://stellar.expert/explorer/testnet/tx/c573ddc586232a032c0dbbc42421de343f4329813f2b53551e786413fc6c2002" TargetMode="External" /></Relationships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2026-05-18T21:58:48Z</dcterms:created>
  <dcterms:modified xsi:type="dcterms:W3CDTF">2026-05-18T21:58:48Z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