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Conclusions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highest number of crime reports occur in areas with lower median home values, but not at the lowest end of the scale. As property values rise, the crime rates go down, though with a rise at the highest end of the scale.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Breaking down the crime reports over home values by gender mirrors the pattern seen in the overall data, with more reports from male victims than female, with an exception in areas with the lowest home values. Assessing the overall data by time of day of the crimes reveals that fewer crimes occur in the late night/early morning period (midnight to 6:00 am), with the highest rates of occurrence in the P.M. hours.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Considering relative affluence by median household income shows a similar peak for crime reports in areas with the near-lowest ranges of income, without a corresponding spike at the uppermost levels. Breakdowns by gender and time of day find patterns corresponding to those seen for median home values, but slightly more females than males report crimes in the peak median income range (~$40,000).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An assessment of types of crimes reported at different value levels might help clarify the reasons for the variations in reporting.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