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Volt var droop design for secure transmission operation</w:t>
      </w:r>
    </w:p>
    <w:p>
      <w:pPr>
        <w:pStyle w:val="Subtitle"/>
      </w:pPr>
      <w:r>
        <w:t>Reactive reserve and stability with faithful scalable optimisation</w:t>
      </w:r>
    </w:p>
    <w:p>
      <w:pPr>
        <w:pStyle w:val="Subtitle"/>
      </w:pPr>
      <w:r>
        <w:t>Research framework and analytical study  •  14 September 2026</w:t>
      </w:r>
    </w:p>
    <w:p>
      <w:pPr>
        <w:pStyle w:val="Heading1"/>
      </w:pPr>
      <w:r>
        <w:t>Abstract</w:t>
      </w:r>
    </w:p>
    <w:p>
      <w:r>
        <w:t>Voltage–reactive power droop provides decentralised voltage support, but selecting its parameters in a transmission system requires coordination of network physics, reserve allocation and controller dynamics. Conventional reactive headroom does not establish that support is deliverable during a disturbance, while smooth approximations of piecewise characteristics can alter the operating regime and the inferred security margin. This article develops a research framework that links implementable droop design to controller-aware reserve assessment and approximation fidelity. A hierarchy separates fixed design settings, supervisory actions and automatic disturbance response. Conditional bounds connect curve approximation to exact-equilibrium feasibility, and a separate perturbation test identifies when linear stability can transfer between two models. Analytical examples quantify the collapse of reactive headroom at depressed voltage and the trade-off between smoothing width and curve accuracy. A computational methodology combines sparse network optimisation, exact-model correction, critical-scenario enrichment and progressively detailed dynamic validation. The proposed experimental programme compares smooth and exact formulations using total time to an accepted design and the frequency of false security assessments. The central research objective is to establish when efficient optimisation produces settings that retain their reserve and stability properties in the implemented system.</w:t>
      </w:r>
    </w:p>
    <w:p>
      <w:r>
        <w:t>Keywords: transmission voltage control; reactive reserve; volt var droop; security-constrained optimisation; smooth approximation; inverter-based resources.</w:t>
      </w:r>
    </w:p>
    <w:p>
      <w:pPr>
        <w:pStyle w:val="Heading1"/>
      </w:pPr>
      <w:r>
        <w:t>1 Introduction</w:t>
      </w:r>
    </w:p>
    <w:p>
      <w:r>
        <w:t>Transmission voltage regulation is a coordinated network and control problem. A plant can improve its local steady-state voltage while increasing reactive circulation, consuming capability needed after an outage, or degrading the damping of interacting controllers. The significance of a droop setting therefore depends on its measurement boundary, power base, operating point, neighbouring controls and limiting behaviour. A percentage setting without these attributes does not define a reproducible control design.</w:t>
      </w:r>
    </w:p>
    <w:p>
      <w:r>
        <w:t>Two related questions motivate the study. The first is how to select volt/var curves that retain useful reactive capability and acceptable dynamic performance. The second is how to optimise many such decisions efficiently while preserving the behaviour of the controller that will actually be used. These questions cannot be resolved independently: a numerical approximation can change predicted reserve deployment, and reserve constraints can move the operating point into a region where the approximation has its largest derivative error.</w:t>
      </w:r>
    </w:p>
    <w:p>
      <w:r>
        <w:t>Reactive resource planning already distinguishes the roles of static and dynamic support [1]. Optimal volt/var rule design, smooth droop embedding and small-signal stability-constrained optimal power flow also have established precedents [2–6]. The research opportunity examined here is their integration around an explicit fidelity requirement: an accepted design must remain acceptable when its numerical approximation is replaced by the implemented response.</w:t>
      </w:r>
    </w:p>
    <w:p>
      <w:r>
        <w:t>This is an analytical and methodological article. The results established below consist of conditional mathematical bounds and reproducible scalar calculations. The network-wide performance hypotheses and the proposed validation programme remain to be tested. No deployment-scale speedup, global optimality, universal stability guarantee or site-specific compliance result is asserted.</w:t>
      </w:r>
    </w:p>
    <w:p>
      <w:pPr>
        <w:pStyle w:val="Heading1"/>
      </w:pPr>
      <w:r>
        <w:t>2 Related work and research positioning</w:t>
      </w:r>
    </w:p>
    <w:p>
      <w:pPr>
        <w:pStyle w:val="Heading2"/>
      </w:pPr>
      <w:r>
        <w:t>2.1 Curve design and computational representations</w:t>
      </w:r>
    </w:p>
    <w:p>
      <w:r>
        <w:t>Murzakhanov et al. customise piecewise-affine volt/var rules for a single-phase distribution feeder using a projected-gradient approach and an inner approximation of a stability region [2]. Gupta et al. emulate volt/var dynamics with a neural network whose trainable parameters correspond to implementable rule settings [3]. The latter network is an offline optimisation device, rather than necessarily a replacement for the field controller. These studies establish that optimising deadbands and slopes under stability restrictions is not, by itself, a new research objective. Their feeder models and associated stability conditions require explicit reassessment before use in meshed transmission systems.</w:t>
      </w:r>
    </w:p>
    <w:p>
      <w:r>
        <w:t>Mohy-ud-din et al. embed smooth droop approximations in AC–DC power flow, optimal power flow and security-constrained optimal power flow [4]. Their 5- and 67-bus comparisons support the computational value of smoothing relative to the tested mixed-integer formulations. They do not establish dynamic-security preservation or runtime at national transmission scale. An informative extension must compare equivalent physical models and include competent exact piecewise alternatives; otherwise the comparison may primarily reflect the selected encoding and solver.</w:t>
      </w:r>
    </w:p>
    <w:p>
      <w:pPr>
        <w:pStyle w:val="Heading2"/>
      </w:pPr>
      <w:r>
        <w:t>2.2 Reserve management and dynamic security</w:t>
      </w:r>
    </w:p>
    <w:p>
      <w:r>
        <w:t>El-Araby and Yorino assess effective reactive reserves in relation to contingency security and operating cost, using loading-margin sensitivities to distinguish generator contributions [5]. This establishes a precedent for valuing reserve by its location and security effect. The unresolved emphasis here is whether the actual plant controller releases that capability quickly enough, under changing voltage and current priorities, to achieve the intended benefit.</w:t>
      </w:r>
    </w:p>
    <w:p>
      <w:r>
        <w:t>Huang et al. incorporate eigenvalue-distribution constraints into transmission optimal power flow and demonstrate the approach on a 39-bus system and a modified 2395-bus practical system [6]. Their work motivates tracking a set of relevant modes rather than repeatedly constraining only the currently worst mode. Transmission volt/var optimisation also coordinates discrete taps and capacitor banks [7], providing an important supervisory counterpart to fast droop response. However, improving voltage profiles or reducing reactive dispatch is not sufficient evidence of converter dynamic stability.</w:t>
      </w:r>
    </w:p>
    <w:p>
      <w:r>
        <w:t>The proposed contribution is therefore an integrated assessment and optimisation method with three testable features: controller-aware reserve predicts security more reliably than headroom alone; approximation budgets reduce false security assessments; and an iterative combination of sparse optimisation and selective validation reduces the total cost of obtaining an accepted design. These are research hypotheses, not claims of established novelty. A publication study should extend the literature comparison to the chosen controller family and uncertainty model before making a priority claim.</w:t>
      </w:r>
    </w:p>
    <w:p>
      <w:pPr>
        <w:pStyle w:val="Heading1"/>
      </w:pPr>
      <w:r>
        <w:t>3 Physical model and implementable decisions</w:t>
      </w:r>
    </w:p>
    <w:p>
      <w:pPr>
        <w:pStyle w:val="Heading2"/>
      </w:pPr>
      <w:r>
        <w:t>3.1 Commanded droop and achievable output</w:t>
      </w:r>
    </w:p>
    <w:p>
      <w:pPr>
        <w:keepNext/>
      </w:pPr>
      <w:r>
        <w:t>Let v = V/Vb and q = Q/Sb denote voltage magnitude and reactive power on consistent bases. Positive q denotes injection into the transmission network. At a specified measurement boundary, an unrestricted active segment is</w:t>
      </w:r>
    </w:p>
    <w:p>
      <w:pPr>
        <w:keepLines/>
        <w:spacing w:before="80" w:after="160"/>
        <w:jc w:val="center"/>
      </w:pPr>
      <m:oMath>
        <m:sSub>
          <m:e>
            <m:r>
              <m:t xml:space="preserve">q</m:t>
            </m:r>
          </m:e>
          <m:sub>
            <m:r>
              <m:t xml:space="preserve">c</m:t>
            </m:r>
            <m:r>
              <m:t xml:space="preserve">m</m:t>
            </m:r>
            <m:r>
              <m:t xml:space="preserve">d</m:t>
            </m:r>
          </m:sub>
        </m:sSub>
        <m:r>
          <m:t xml:space="preserve">=</m:t>
        </m:r>
        <m:sSub>
          <m:e>
            <m:r>
              <m:t xml:space="preserve">q</m:t>
            </m:r>
          </m:e>
          <m:sub>
            <m:r>
              <m:t xml:space="preserve">0</m:t>
            </m:r>
          </m:sub>
        </m:sSub>
        <m:r>
          <m:t xml:space="preserve">+</m:t>
        </m:r>
        <m:r>
          <m:t xml:space="preserve">k</m:t>
        </m:r>
        <m:r>
          <m:t xml:space="preserve">(</m:t>
        </m:r>
        <m:sSub>
          <m:e>
            <m:r>
              <m:t xml:space="preserve">v</m:t>
            </m:r>
          </m:e>
          <m:sub>
            <m:r>
              <m:t xml:space="preserve">r</m:t>
            </m:r>
            <m:r>
              <m:t xml:space="preserve">e</m:t>
            </m:r>
            <m:r>
              <m:t xml:space="preserve">f</m:t>
            </m:r>
          </m:sub>
        </m:sSub>
        <m:r>
          <m:t xml:space="preserve">-</m:t>
        </m:r>
        <m:sSub>
          <m:e>
            <m:r>
              <m:t xml:space="preserve">v</m:t>
            </m:r>
          </m:e>
          <m:sub>
            <m:r>
              <m:t xml:space="preserve">m</m:t>
            </m:r>
          </m:sub>
        </m:sSub>
        <m:r>
          <m:t xml:space="preserve">)</m:t>
        </m:r>
        <m:r>
          <m:t xml:space="preserve">,</m:t>
        </m:r>
        <m:r>
          <m:t xml:space="preserve">  </m:t>
        </m:r>
        <m:r>
          <m:t xml:space="preserve"> </m:t>
        </m:r>
        <m:r>
          <m:t xml:space="preserve">k</m:t>
        </m:r>
        <m:r>
          <m:t xml:space="preserve">&gt;</m:t>
        </m:r>
        <m:r>
          <m:t xml:space="preserve">0</m:t>
        </m:r>
        <m:r>
          <m:t xml:space="preserve">.</m:t>
        </m:r>
      </m:oMath>
      <w:r>
        <w:rPr>
          <w:sz w:val="20"/>
        </w:rPr>
        <w:t xml:space="preserve">   (1)</w:t>
      </w:r>
    </w:p>
    <w:p>
      <w:pPr>
        <w:keepNext/>
      </w:pPr>
      <w:r>
        <w:t>For an asymmetric five-segment curve, choose gains k₊ and k₋, deadband edges b and c, and fixed snapshot limits qmin &lt; q0 &lt; qmax. Define the saturation breakpoints a and d by</w:t>
      </w:r>
    </w:p>
    <w:p>
      <w:pPr>
        <w:keepLines/>
        <w:spacing w:before="80" w:after="160"/>
        <w:jc w:val="center"/>
      </w:pPr>
      <m:oMath>
        <m:r>
          <m:t xml:space="preserve">a</m:t>
        </m:r>
        <m:r>
          <m:t xml:space="preserve">=</m:t>
        </m:r>
        <m:r>
          <m:t xml:space="preserve">b</m:t>
        </m:r>
        <m:r>
          <m:t xml:space="preserve">-</m:t>
        </m:r>
        <m:f>
          <m:num>
            <m:sSub>
              <m:e>
                <m:r>
                  <m:t xml:space="preserve">q</m:t>
                </m:r>
              </m:e>
              <m:sub>
                <m:r>
                  <m:t xml:space="preserve">m</m:t>
                </m:r>
                <m:r>
                  <m:t xml:space="preserve">a</m:t>
                </m:r>
                <m:r>
                  <m:t xml:space="preserve">x</m:t>
                </m:r>
              </m:sub>
            </m:sSub>
            <m:r>
              <m:t xml:space="preserve">-</m:t>
            </m:r>
            <m:sSub>
              <m:e>
                <m:r>
                  <m:t xml:space="preserve">q</m:t>
                </m:r>
              </m:e>
              <m:sub>
                <m:r>
                  <m:t xml:space="preserve">0</m:t>
                </m:r>
              </m:sub>
            </m:sSub>
          </m:num>
          <m:den>
            <m:sSub>
              <m:e>
                <m:r>
                  <m:t xml:space="preserve">k</m:t>
                </m:r>
              </m:e>
              <m:sub>
                <m:r>
                  <m:t xml:space="preserve">+</m:t>
                </m:r>
              </m:sub>
            </m:sSub>
          </m:den>
        </m:f>
        <m:r>
          <m:t xml:space="preserve">,</m:t>
        </m:r>
        <m:r>
          <m:t xml:space="preserve">  </m:t>
        </m:r>
        <m:r>
          <m:t xml:space="preserve"> </m:t>
        </m:r>
        <m:r>
          <m:t xml:space="preserve">d</m:t>
        </m:r>
        <m:r>
          <m:t xml:space="preserve">=</m:t>
        </m:r>
        <m:r>
          <m:t xml:space="preserve">c</m:t>
        </m:r>
        <m:r>
          <m:t xml:space="preserve">+</m:t>
        </m:r>
        <m:f>
          <m:num>
            <m:sSub>
              <m:e>
                <m:r>
                  <m:t xml:space="preserve">q</m:t>
                </m:r>
              </m:e>
              <m:sub>
                <m:r>
                  <m:t xml:space="preserve">0</m:t>
                </m:r>
              </m:sub>
            </m:sSub>
            <m:r>
              <m:t xml:space="preserve">-</m:t>
            </m:r>
            <m:sSub>
              <m:e>
                <m:r>
                  <m:t xml:space="preserve">q</m:t>
                </m:r>
              </m:e>
              <m:sub>
                <m:r>
                  <m:t xml:space="preserve">m</m:t>
                </m:r>
                <m:r>
                  <m:t xml:space="preserve">i</m:t>
                </m:r>
                <m:r>
                  <m:t xml:space="preserve">n</m:t>
                </m:r>
              </m:sub>
            </m:sSub>
          </m:num>
          <m:den>
            <m:sSub>
              <m:e>
                <m:r>
                  <m:t xml:space="preserve">k</m:t>
                </m:r>
              </m:e>
              <m:sub>
                <m:r>
                  <m:t xml:space="preserve">-</m:t>
                </m:r>
              </m:sub>
            </m:sSub>
          </m:den>
        </m:f>
        <m:r>
          <m:t xml:space="preserve">.</m:t>
        </m:r>
      </m:oMath>
      <w:r>
        <w:rPr>
          <w:sz w:val="20"/>
        </w:rPr>
        <w:t xml:space="preserve">   (2)</w:t>
      </w:r>
    </w:p>
    <w:p>
      <w:pPr>
        <w:keepNext/>
      </w:pPr>
      <w:r>
        <w:t>With [x]₊ = max(0,x), the exact snapshot curve is</w:t>
      </w:r>
    </w:p>
    <w:p>
      <w:pPr>
        <w:keepLines/>
        <w:spacing w:before="80" w:after="160"/>
        <w:jc w:val="center"/>
      </w:pPr>
      <m:oMath>
        <m:r>
          <m:t xml:space="preserve">f</m:t>
        </m:r>
        <m:r>
          <m:t xml:space="preserve">(</m:t>
        </m:r>
        <m:r>
          <m:t xml:space="preserve">v</m:t>
        </m:r>
        <m:r>
          <m:t xml:space="preserve">)</m:t>
        </m:r>
        <m:r>
          <m:t xml:space="preserve">=</m:t>
        </m:r>
        <m:sSub>
          <m:e>
            <m:r>
              <m:t xml:space="preserve">q</m:t>
            </m:r>
          </m:e>
          <m:sub>
            <m:r>
              <m:t xml:space="preserve">m</m:t>
            </m:r>
            <m:r>
              <m:t xml:space="preserve">a</m:t>
            </m:r>
            <m:r>
              <m:t xml:space="preserve">x</m:t>
            </m:r>
          </m:sub>
        </m:sSub>
        <m:r>
          <m:t xml:space="preserve">-</m:t>
        </m:r>
        <m:sSub>
          <m:e>
            <m:r>
              <m:t xml:space="preserve">k</m:t>
            </m:r>
          </m:e>
          <m:sub>
            <m:r>
              <m:t xml:space="preserve">+</m:t>
            </m:r>
          </m:sub>
        </m:sSub>
        <m:r>
          <m:t xml:space="preserve">(</m:t>
        </m:r>
        <m:r>
          <m:t xml:space="preserve">[</m:t>
        </m:r>
        <m:r>
          <m:t xml:space="preserve">v</m:t>
        </m:r>
        <m:r>
          <m:t xml:space="preserve">-</m:t>
        </m:r>
        <m:r>
          <m:t xml:space="preserve">a</m:t>
        </m:r>
        <m:sSub>
          <m:e>
            <m:r>
              <m:t xml:space="preserve">]</m:t>
            </m:r>
          </m:e>
          <m:sub>
            <m:r>
              <m:t xml:space="preserve">+</m:t>
            </m:r>
          </m:sub>
        </m:sSub>
        <m:r>
          <m:t xml:space="preserve">-</m:t>
        </m:r>
        <m:r>
          <m:t xml:space="preserve">[</m:t>
        </m:r>
        <m:r>
          <m:t xml:space="preserve">v</m:t>
        </m:r>
        <m:r>
          <m:t xml:space="preserve">-</m:t>
        </m:r>
        <m:r>
          <m:t xml:space="preserve">b</m:t>
        </m:r>
        <m:sSub>
          <m:e>
            <m:r>
              <m:t xml:space="preserve">]</m:t>
            </m:r>
          </m:e>
          <m:sub>
            <m:r>
              <m:t xml:space="preserve">+</m:t>
            </m:r>
          </m:sub>
        </m:sSub>
        <m:r>
          <m:t xml:space="preserve">)</m:t>
        </m:r>
        <m:r>
          <m:t xml:space="preserve">-</m:t>
        </m:r>
        <m:sSub>
          <m:e>
            <m:r>
              <m:t xml:space="preserve">k</m:t>
            </m:r>
          </m:e>
          <m:sub>
            <m:r>
              <m:t xml:space="preserve">-</m:t>
            </m:r>
          </m:sub>
        </m:sSub>
        <m:r>
          <m:t xml:space="preserve">(</m:t>
        </m:r>
        <m:r>
          <m:t xml:space="preserve">[</m:t>
        </m:r>
        <m:r>
          <m:t xml:space="preserve">v</m:t>
        </m:r>
        <m:r>
          <m:t xml:space="preserve">-</m:t>
        </m:r>
        <m:r>
          <m:t xml:space="preserve">c</m:t>
        </m:r>
        <m:sSub>
          <m:e>
            <m:r>
              <m:t xml:space="preserve">]</m:t>
            </m:r>
          </m:e>
          <m:sub>
            <m:r>
              <m:t xml:space="preserve">+</m:t>
            </m:r>
          </m:sub>
        </m:sSub>
        <m:r>
          <m:t xml:space="preserve">-</m:t>
        </m:r>
        <m:r>
          <m:t xml:space="preserve">[</m:t>
        </m:r>
        <m:r>
          <m:t xml:space="preserve">v</m:t>
        </m:r>
        <m:r>
          <m:t xml:space="preserve">-</m:t>
        </m:r>
        <m:r>
          <m:t xml:space="preserve">d</m:t>
        </m:r>
        <m:sSub>
          <m:e>
            <m:r>
              <m:t xml:space="preserve">]</m:t>
            </m:r>
          </m:e>
          <m:sub>
            <m:r>
              <m:t xml:space="preserve">+</m:t>
            </m:r>
          </m:sub>
        </m:sSub>
        <m:r>
          <m:t xml:space="preserve">)</m:t>
        </m:r>
        <m:r>
          <m:t xml:space="preserve">.</m:t>
        </m:r>
      </m:oMath>
      <w:r>
        <w:rPr>
          <w:sz w:val="20"/>
        </w:rPr>
        <w:t xml:space="preserve">   (3)</w:t>
      </w:r>
    </w:p>
    <w:p>
      <w:r>
        <w:t>The ordering a &lt; b ≤ c &lt; d follows from positive gains and nonzero directional headroom. Zero gain, exhausted headroom and coincident breakpoints require explicit limiting representations. It is preferable to optimise independent physical settings and derive the remaining breakpoints, rather than treat all slopes, limits and breakpoints as unrelated variables.</w:t>
      </w:r>
    </w:p>
    <w:p>
      <w:pPr>
        <w:keepNext/>
      </w:pPr>
      <w:r>
        <w:t>The command curve is only one component of the physical response. For a balanced converter, a simplified current constraint is</w:t>
      </w:r>
    </w:p>
    <w:p>
      <w:pPr>
        <w:keepLines/>
        <w:spacing w:before="80" w:after="160"/>
        <w:jc w:val="center"/>
      </w:pPr>
      <m:oMath>
        <m:sSup>
          <m:e>
            <m:r>
              <m:t xml:space="preserve">p</m:t>
            </m:r>
          </m:e>
          <m:sup>
            <m:r>
              <m:t xml:space="preserve">2</m:t>
            </m:r>
          </m:sup>
        </m:sSup>
        <m:r>
          <m:t xml:space="preserve">+</m:t>
        </m:r>
        <m:sSup>
          <m:e>
            <m:r>
              <m:t xml:space="preserve">q</m:t>
            </m:r>
          </m:e>
          <m:sup>
            <m:r>
              <m:t xml:space="preserve">2</m:t>
            </m:r>
          </m:sup>
        </m:sSup>
        <m:r>
          <m:t xml:space="preserve">≤</m:t>
        </m:r>
        <m:r>
          <m:t xml:space="preserve">(</m:t>
        </m:r>
        <m:r>
          <m:t xml:space="preserve">v</m:t>
        </m:r>
        <m:r>
          <m:t xml:space="preserve"> </m:t>
        </m:r>
        <m:sSub>
          <m:e>
            <m:r>
              <m:t xml:space="preserve">i</m:t>
            </m:r>
          </m:e>
          <m:sub>
            <m:r>
              <m:t xml:space="preserve">m</m:t>
            </m:r>
            <m:r>
              <m:t xml:space="preserve">a</m:t>
            </m:r>
            <m:r>
              <m:t xml:space="preserve">x</m:t>
            </m:r>
          </m:sub>
        </m:sSub>
        <m:sSup>
          <m:e>
            <m:r>
              <m:t xml:space="preserve">)</m:t>
            </m:r>
          </m:e>
          <m:sup>
            <m:r>
              <m:t xml:space="preserve">2</m:t>
            </m:r>
          </m:sup>
        </m:sSup>
        <m:r>
          <m:t xml:space="preserve">.</m:t>
        </m:r>
      </m:oMath>
      <w:r>
        <w:rPr>
          <w:sz w:val="20"/>
        </w:rPr>
        <w:t xml:space="preserve">   (4)</w:t>
      </w:r>
    </w:p>
    <w:p>
      <w:r>
        <w:t>When |p| ≤ v imax, the positive capability bound is sqrt((v imax)² − p²). If this condition fails, active power must change or another operating mode must intervene. Current priority, internal voltages, temperature, availability and protection further restrict the response. Consequently, clipping to fixed Mvar bounds and adding an independent current inequality may create an infeasible model instead of representing the actual limiter.</w:t>
      </w:r>
    </w:p>
    <w:p>
      <w:r>
        <w:t>At an active positive current limit and fixed p, dqmax/dv = v imax²/qmax &gt; 0. Achievable injection can therefore decline as voltage falls. A globally decreasing delivered Q–V curve is not a universal physical invariant. Monotonicity applies to the supporting command characteristic under its stated assumptions; capability fidelity applies to the delivered response. Collector-network losses and internal limits must also be included when converting terminal capability to connection-point capability.</w:t>
      </w:r>
    </w:p>
    <w:p>
      <w:pPr>
        <w:pStyle w:val="Heading2"/>
      </w:pPr>
      <w:r>
        <w:t>3.2 Network equations and controller dynamics</w:t>
      </w:r>
    </w:p>
    <w:p>
      <w:pPr>
        <w:keepNext/>
      </w:pPr>
      <w:r>
        <w:t>For scenario s, let z collect algebraic network states and x collect dynamic states. The implementation is represented by a differential-algebraic system</w:t>
      </w:r>
    </w:p>
    <w:p>
      <w:pPr>
        <w:keepLines/>
        <w:spacing w:before="80" w:after="160"/>
        <w:jc w:val="center"/>
      </w:pPr>
      <m:oMath>
        <m:acc>
          <m:accPr>
            <m:chr m:val="̇"/>
          </m:accPr>
          <m:e>
            <m:r>
              <m:t xml:space="preserve">x</m:t>
            </m:r>
          </m:e>
        </m:acc>
        <m:r>
          <m:t xml:space="preserve">=</m:t>
        </m:r>
        <m:sSub>
          <m:e>
            <m:r>
              <m:t xml:space="preserve">F</m:t>
            </m:r>
          </m:e>
          <m:sub>
            <m:r>
              <m:t xml:space="preserve">s</m:t>
            </m:r>
          </m:sub>
        </m:sSub>
        <m:r>
          <m:t xml:space="preserve">(</m:t>
        </m:r>
        <m:r>
          <m:t xml:space="preserve">x</m:t>
        </m:r>
        <m:r>
          <m:t xml:space="preserve">,</m:t>
        </m:r>
        <m:r>
          <m:t xml:space="preserve">z</m:t>
        </m:r>
        <m:r>
          <m:t xml:space="preserve">,</m:t>
        </m:r>
        <m:r>
          <m:t xml:space="preserve">u</m:t>
        </m:r>
        <m:r>
          <m:t xml:space="preserve">;</m:t>
        </m:r>
        <m:r>
          <m:t xml:space="preserve">θ</m:t>
        </m:r>
        <m:r>
          <m:t xml:space="preserve">)</m:t>
        </m:r>
        <m:r>
          <m:t xml:space="preserve">,</m:t>
        </m:r>
        <m:r>
          <m:t xml:space="preserve">  </m:t>
        </m:r>
        <m:r>
          <m:t xml:space="preserve"> </m:t>
        </m:r>
        <m:r>
          <m:t xml:space="preserve">0</m:t>
        </m:r>
        <m:r>
          <m:t xml:space="preserve">=</m:t>
        </m:r>
        <m:sSub>
          <m:e>
            <m:r>
              <m:t xml:space="preserve">G</m:t>
            </m:r>
          </m:e>
          <m:sub>
            <m:r>
              <m:t xml:space="preserve">s</m:t>
            </m:r>
          </m:sub>
        </m:sSub>
        <m:r>
          <m:t xml:space="preserve">(</m:t>
        </m:r>
        <m:r>
          <m:t xml:space="preserve">x</m:t>
        </m:r>
        <m:r>
          <m:t xml:space="preserve">,</m:t>
        </m:r>
        <m:r>
          <m:t xml:space="preserve">z</m:t>
        </m:r>
        <m:r>
          <m:t xml:space="preserve">,</m:t>
        </m:r>
        <m:r>
          <m:t xml:space="preserve">u</m:t>
        </m:r>
        <m:r>
          <m:t xml:space="preserve">;</m:t>
        </m:r>
        <m:r>
          <m:t xml:space="preserve">θ</m:t>
        </m:r>
        <m:r>
          <m:t xml:space="preserve">)</m:t>
        </m:r>
        <m:r>
          <m:t xml:space="preserve">.</m:t>
        </m:r>
      </m:oMath>
      <w:r>
        <w:rPr>
          <w:sz w:val="20"/>
        </w:rPr>
        <w:t xml:space="preserve">   (5)</w:t>
      </w:r>
    </w:p>
    <w:p>
      <w:r>
        <w:t>Here θ contains fixed design settings, while u denotes permitted supervisory inputs. Normal-operation plant Q–V control is the initial scope. Grid-forming internal-voltage droop, synchronous excitation control and fault-mode reactive-current control require their own signal paths; a similar equilibrium curve does not make these implementations dynamically interchangeable. Measurement filters, sampling, communication delay, anti-windup and limiter states belong in the corresponding dynamic model.</w:t>
      </w:r>
    </w:p>
    <w:p>
      <w:pPr>
        <w:pStyle w:val="Heading2"/>
      </w:pPr>
      <w:r>
        <w:t>3.3 Causal decision hierarchy</w:t>
      </w:r>
    </w:p>
    <w:p>
      <w:r>
        <w:t>The offline layer selects implementable gains, deadbands and approved compensation parameters. The supervisory layer schedules voltage references, reactive biases and discrete devices from information actually available at that time. The disturbance layer follows the automatic controller and its physical response delays. All scenarios sharing the same pre-event information must share their pre-event decisions. A separate arbitrary setting for every future contingency would embed unavailable knowledge into the solution.</w:t>
      </w:r>
    </w:p>
    <w:p>
      <w:r>
        <w:t>An initial study should keep validated inner-loop gains fixed and optimise the outer characteristic and scheduled operating point. Adaptive droop and filter tuning can be introduced later with explicit scheduling dynamics. Reference and bias parameters also require identifiability checks: on one unsaturated segment, q0 and vref enter through q0 + k vref. Fitting both from a narrow operating range can produce nonunique parameter estimates even when the fitted curve is accurate.</w:t>
      </w:r>
    </w:p>
    <w:p>
      <w:pPr>
        <w:pStyle w:val="Heading1"/>
      </w:pPr>
      <w:r>
        <w:t>4 Reserve as available capability and delivered support</w:t>
      </w:r>
    </w:p>
    <w:p>
      <w:pPr>
        <w:pStyle w:val="Heading2"/>
      </w:pPr>
      <w:r>
        <w:t>4.1 Directional headroom</w:t>
      </w:r>
    </w:p>
    <w:p>
      <w:pPr>
        <w:keepNext/>
      </w:pPr>
      <w:r>
        <w:t>At the pre-event operating state, define the two directional reserves</w:t>
      </w:r>
    </w:p>
    <w:p>
      <w:pPr>
        <w:keepLines/>
        <w:spacing w:before="80" w:after="160"/>
        <w:jc w:val="center"/>
      </w:pPr>
      <m:oMath>
        <m:sSubSup>
          <m:e>
            <m:r>
              <m:t xml:space="preserve">R</m:t>
            </m:r>
          </m:e>
          <m:sub>
            <m:r>
              <m:t xml:space="preserve">i</m:t>
            </m:r>
          </m:sub>
          <m:sup>
            <m:r>
              <m:t xml:space="preserve">+</m:t>
            </m:r>
          </m:sup>
        </m:sSubSup>
        <m:r>
          <m:t xml:space="preserve">=</m:t>
        </m:r>
        <m:sSub>
          <m:e>
            <m:r>
              <m:t xml:space="preserve">Q</m:t>
            </m:r>
          </m:e>
          <m:sub>
            <m:r>
              <m:t xml:space="preserve">i</m:t>
            </m:r>
            <m:r>
              <m:t xml:space="preserve">,</m:t>
            </m:r>
            <m:r>
              <m:t xml:space="preserve">m</m:t>
            </m:r>
            <m:r>
              <m:t xml:space="preserve">a</m:t>
            </m:r>
            <m:r>
              <m:t xml:space="preserve">x</m:t>
            </m:r>
          </m:sub>
        </m:sSub>
        <m:r>
          <m:t xml:space="preserve">(</m:t>
        </m:r>
        <m:sSub>
          <m:e>
            <m:r>
              <m:t xml:space="preserve">P</m:t>
            </m:r>
          </m:e>
          <m:sub>
            <m:r>
              <m:t xml:space="preserve">i</m:t>
            </m:r>
          </m:sub>
        </m:sSub>
        <m:r>
          <m:t xml:space="preserve">,</m:t>
        </m:r>
        <m:sSub>
          <m:e>
            <m:r>
              <m:t xml:space="preserve">V</m:t>
            </m:r>
          </m:e>
          <m:sub>
            <m:r>
              <m:t xml:space="preserve">i</m:t>
            </m:r>
          </m:sub>
        </m:sSub>
        <m:r>
          <m:t xml:space="preserve">,</m:t>
        </m:r>
        <m:sSub>
          <m:e>
            <m:r>
              <m:t xml:space="preserve">ξ</m:t>
            </m:r>
          </m:e>
          <m:sub>
            <m:r>
              <m:t xml:space="preserve">i</m:t>
            </m:r>
          </m:sub>
        </m:sSub>
        <m:r>
          <m:t xml:space="preserve">)</m:t>
        </m:r>
        <m:r>
          <m:t xml:space="preserve">-</m:t>
        </m:r>
        <m:sSub>
          <m:e>
            <m:r>
              <m:t xml:space="preserve">Q</m:t>
            </m:r>
          </m:e>
          <m:sub>
            <m:r>
              <m:t xml:space="preserve">i</m:t>
            </m:r>
          </m:sub>
        </m:sSub>
        <m:r>
          <m:t xml:space="preserve">,</m:t>
        </m:r>
        <m:r>
          <m:t xml:space="preserve">  </m:t>
        </m:r>
        <m:r>
          <m:t xml:space="preserve"> </m:t>
        </m:r>
        <m:sSubSup>
          <m:e>
            <m:r>
              <m:t xml:space="preserve">R</m:t>
            </m:r>
          </m:e>
          <m:sub>
            <m:r>
              <m:t xml:space="preserve">i</m:t>
            </m:r>
          </m:sub>
          <m:sup>
            <m:r>
              <m:t xml:space="preserve">-</m:t>
            </m:r>
          </m:sup>
        </m:sSubSup>
        <m:r>
          <m:t xml:space="preserve">=</m:t>
        </m:r>
        <m:sSub>
          <m:e>
            <m:r>
              <m:t xml:space="preserve">Q</m:t>
            </m:r>
          </m:e>
          <m:sub>
            <m:r>
              <m:t xml:space="preserve">i</m:t>
            </m:r>
          </m:sub>
        </m:sSub>
        <m:r>
          <m:t xml:space="preserve">-</m:t>
        </m:r>
        <m:sSub>
          <m:e>
            <m:r>
              <m:t xml:space="preserve">Q</m:t>
            </m:r>
          </m:e>
          <m:sub>
            <m:r>
              <m:t xml:space="preserve">i</m:t>
            </m:r>
            <m:r>
              <m:t xml:space="preserve">,</m:t>
            </m:r>
            <m:r>
              <m:t xml:space="preserve">m</m:t>
            </m:r>
            <m:r>
              <m:t xml:space="preserve">i</m:t>
            </m:r>
            <m:r>
              <m:t xml:space="preserve">n</m:t>
            </m:r>
          </m:sub>
        </m:sSub>
        <m:r>
          <m:t xml:space="preserve">(</m:t>
        </m:r>
        <m:sSub>
          <m:e>
            <m:r>
              <m:t xml:space="preserve">P</m:t>
            </m:r>
          </m:e>
          <m:sub>
            <m:r>
              <m:t xml:space="preserve">i</m:t>
            </m:r>
          </m:sub>
        </m:sSub>
        <m:r>
          <m:t xml:space="preserve">,</m:t>
        </m:r>
        <m:sSub>
          <m:e>
            <m:r>
              <m:t xml:space="preserve">V</m:t>
            </m:r>
          </m:e>
          <m:sub>
            <m:r>
              <m:t xml:space="preserve">i</m:t>
            </m:r>
          </m:sub>
        </m:sSub>
        <m:r>
          <m:t xml:space="preserve">,</m:t>
        </m:r>
        <m:sSub>
          <m:e>
            <m:r>
              <m:t xml:space="preserve">ξ</m:t>
            </m:r>
          </m:e>
          <m:sub>
            <m:r>
              <m:t xml:space="preserve">i</m:t>
            </m:r>
          </m:sub>
        </m:sSub>
        <m:r>
          <m:t xml:space="preserve">)</m:t>
        </m:r>
        <m:r>
          <m:t xml:space="preserve">.</m:t>
        </m:r>
      </m:oMath>
      <w:r>
        <w:rPr>
          <w:sz w:val="20"/>
        </w:rPr>
        <w:t xml:space="preserve">   (6)</w:t>
      </w:r>
    </w:p>
    <w:p>
      <w:r>
        <w:t>The state ξ includes availability and other capability conditions. These quantities are necessary accounting measures. They do not specify response speed, whether the disturbance activates the controller, or whether the resulting network flows are helpful. A deadband can prevent deployment of available headroom, while a sag can reduce the capability envelope before the requested support is delivered.</w:t>
      </w:r>
    </w:p>
    <w:p>
      <w:pPr>
        <w:pStyle w:val="Heading2"/>
      </w:pPr>
      <w:r>
        <w:t>4.2 Controller response and security benefit</w:t>
      </w:r>
    </w:p>
    <w:p>
      <w:r>
        <w:t>For a fixed disturbance and control policy, record the incremental trajectory ΔQi,s(t) = Qi,s(t) − Qi,s(0⁻). Report output at specified horizons, sustained support over a stated interval, current-limit duration and subsequent recovery. These quantities describe delivered response rather than an optimisable reserve that can be dispatched arbitrarily. Compare them with the physically feasible support reachable under the allowed controls to identify capability that the chosen policy leaves inaccessible.</w:t>
      </w:r>
    </w:p>
    <w:p>
      <w:r>
        <w:t>Network benefit should be measured separately through voltage envelopes, post-event equilibria, continuation margins and dynamic recovery. Fixed electrical weighting factors are useful screens but must be recalculated or challenged across changing topology and operating conditions. Maximising total unused Mvar can favour resources with little influence on a vulnerable bus and can undervalue absorption needed after fault clearance.</w:t>
      </w:r>
    </w:p>
    <w:p>
      <w:pPr>
        <w:keepNext/>
      </w:pPr>
      <w:r>
        <w:t>For a base case that meets the acceptance criteria and an explicitly defined disturbance direction d, a system-level survival margin can be written as</w:t>
      </w:r>
    </w:p>
    <w:p>
      <w:pPr>
        <w:keepLines/>
        <w:spacing w:before="80" w:after="160"/>
        <w:jc w:val="center"/>
      </w:pPr>
      <m:oMath>
        <m:sSub>
          <m:e>
            <m:r>
              <m:t xml:space="preserve">ρ</m:t>
            </m:r>
          </m:e>
          <m:sub>
            <m:r>
              <m:t xml:space="preserve">s</m:t>
            </m:r>
            <m:r>
              <m:t xml:space="preserve">,</m:t>
            </m:r>
            <m:r>
              <m:t xml:space="preserve">d</m:t>
            </m:r>
          </m:sub>
        </m:sSub>
        <m:r>
          <m:t xml:space="preserve">(</m:t>
        </m:r>
        <m:r>
          <m:t xml:space="preserve">θ</m:t>
        </m:r>
        <m:r>
          <m:t xml:space="preserve">)</m:t>
        </m:r>
        <m:r>
          <m:t xml:space="preserve">=</m:t>
        </m:r>
        <m:r>
          <m:t xml:space="preserve">sup</m:t>
        </m:r>
        <m:r>
          <m:t xml:space="preserve">{</m:t>
        </m:r>
        <m:r>
          <m:t xml:space="preserve">r</m:t>
        </m:r>
        <m:r>
          <m:t xml:space="preserve">≥</m:t>
        </m:r>
        <m:r>
          <m:t xml:space="preserve">0</m:t>
        </m:r>
        <m:r>
          <m:t xml:space="preserve">:</m:t>
        </m:r>
        <m:r>
          <m:t xml:space="preserve"> </m:t>
        </m:r>
        <m:box>
          <m:e>
            <m:r>
              <m:t xml:space="preserve">A</m:t>
            </m:r>
          </m:e>
        </m:box>
        <m:r>
          <m:t xml:space="preserve">(</m:t>
        </m:r>
        <m:r>
          <m:t xml:space="preserve">s</m:t>
        </m:r>
        <m:r>
          <m:t xml:space="preserve">,</m:t>
        </m:r>
        <m:r>
          <m:t xml:space="preserve">a</m:t>
        </m:r>
        <m:r>
          <m:t xml:space="preserve"> </m:t>
        </m:r>
        <m:r>
          <m:t xml:space="preserve">d</m:t>
        </m:r>
        <m:r>
          <m:t xml:space="preserve">,</m:t>
        </m:r>
        <m:r>
          <m:t xml:space="preserve">θ</m:t>
        </m:r>
        <m:r>
          <m:t xml:space="preserve">)</m:t>
        </m:r>
        <m:r>
          <m:t xml:space="preserve">=</m:t>
        </m:r>
        <m:r>
          <m:t xml:space="preserve">1</m:t>
        </m:r>
        <m:r>
          <m:t xml:space="preserve"> </m:t>
        </m:r>
        <m:r>
          <m:t xml:space="preserve">∀</m:t>
        </m:r>
        <m:r>
          <m:t xml:space="preserve"> </m:t>
        </m:r>
        <m:r>
          <m:t xml:space="preserve">a</m:t>
        </m:r>
        <m:r>
          <m:t xml:space="preserve">∈</m:t>
        </m:r>
        <m:r>
          <m:t xml:space="preserve">[</m:t>
        </m:r>
        <m:r>
          <m:t xml:space="preserve">0</m:t>
        </m:r>
        <m:r>
          <m:t xml:space="preserve">,</m:t>
        </m:r>
        <m:r>
          <m:t xml:space="preserve">r</m:t>
        </m:r>
        <m:r>
          <m:t xml:space="preserve">]</m:t>
        </m:r>
        <m:r>
          <m:t xml:space="preserve">}</m:t>
        </m:r>
        <m:r>
          <m:t xml:space="preserve">.</m:t>
        </m:r>
      </m:oMath>
      <w:r>
        <w:rPr>
          <w:sz w:val="20"/>
        </w:rPr>
        <w:t xml:space="preserve">   (7)</w:t>
      </w:r>
    </w:p>
    <w:p>
      <w:r>
        <w:t>The acceptance indicator A equals one only if the implemented system meets the specified equilibrium and trajectory criteria. Requiring success over the connected amplitude interval avoids assuming that acceptance is monotone in disturbance severity. The amplitude and its units must be defined for each direction; load changes, voltage disturbances and clearing times cannot be pooled without normalization. Sampled evaluation estimates this margin and does not certify the interval between samples.</w:t>
      </w:r>
    </w:p>
    <w:p>
      <w:pPr>
        <w:pStyle w:val="Heading2"/>
      </w:pPr>
      <w:r>
        <w:t>4.3 Reserve deployment and replenishment</w:t>
      </w:r>
    </w:p>
    <w:p>
      <w:r>
        <w:t>Reserve preservation is a sequence: retain sufficient capability before an event, deploy it during the event, and restore an appropriate operating margin afterwards. Emergency scenarios should permit intentional reserve use. Slower taps, shunts and reference adjustments may replenish fast capability after recovery, subject to switching limits and coordination. Hard-coding the same residual reserve requirement at every instant can suppress useful support and create unnecessary infeasibility.</w:t>
      </w:r>
    </w:p>
    <w:p>
      <w:pPr>
        <w:pStyle w:val="Heading1"/>
      </w:pPr>
      <w:r>
        <w:t>5 Approximation with explicit fidelity requirements</w:t>
      </w:r>
    </w:p>
    <w:p>
      <w:pPr>
        <w:pStyle w:val="Heading2"/>
      </w:pPr>
      <w:r>
        <w:t>5.1 Smooth construction and a value bound</w:t>
      </w:r>
    </w:p>
    <w:p>
      <w:pPr>
        <w:keepNext/>
      </w:pPr>
      <w:r>
        <w:t>Replace each hinge in (3) by the same-width softplus sε(x) = ε ln(1 + exp(x/ε)). This gives a smooth snapshot fε. A common width is important: the construction can be interpreted as averaging shifted copies of f under a zero-mean logistic random variable Z with scale ε [4 supplies the scalar softplus foundation]. In particular,</w:t>
      </w:r>
    </w:p>
    <w:p>
      <w:pPr>
        <w:keepLines/>
        <w:spacing w:before="80" w:after="160"/>
        <w:jc w:val="center"/>
      </w:pPr>
      <m:oMath>
        <m:sSub>
          <m:e>
            <m:r>
              <m:t xml:space="preserve">f</m:t>
            </m:r>
          </m:e>
          <m:sub>
            <m:r>
              <m:t xml:space="preserve">ε</m:t>
            </m:r>
          </m:sub>
        </m:sSub>
        <m:r>
          <m:t xml:space="preserve">(</m:t>
        </m:r>
        <m:r>
          <m:t xml:space="preserve">v</m:t>
        </m:r>
        <m:r>
          <m:t xml:space="preserve">)</m:t>
        </m:r>
        <m:r>
          <m:t xml:space="preserve">=</m:t>
        </m:r>
        <m:box>
          <m:e>
            <m:r>
              <m:t xml:space="preserve">E</m:t>
            </m:r>
          </m:e>
        </m:box>
        <m:r>
          <m:t xml:space="preserve">[</m:t>
        </m:r>
        <m:r>
          <m:t xml:space="preserve">f</m:t>
        </m:r>
        <m:r>
          <m:t xml:space="preserve">(</m:t>
        </m:r>
        <m:r>
          <m:t xml:space="preserve">v</m:t>
        </m:r>
        <m:r>
          <m:t xml:space="preserve">-</m:t>
        </m:r>
        <m:r>
          <m:t xml:space="preserve">Z</m:t>
        </m:r>
        <m:r>
          <m:t xml:space="preserve">)</m:t>
        </m:r>
        <m:r>
          <m:t xml:space="preserve">]</m:t>
        </m:r>
        <m:r>
          <m:t xml:space="preserve">,</m:t>
        </m:r>
        <m:r>
          <m:t xml:space="preserve">  </m:t>
        </m:r>
        <m:r>
          <m:t xml:space="preserve"> </m:t>
        </m:r>
        <m:box>
          <m:e>
            <m:r>
              <m:t xml:space="preserve">E</m:t>
            </m:r>
          </m:e>
        </m:box>
        <m:r>
          <m:t xml:space="preserve">[</m:t>
        </m:r>
        <m:sSub>
          <m:e>
            <m:r>
              <m:t xml:space="preserve">Z</m:t>
            </m:r>
          </m:e>
          <m:sub>
            <m:r>
              <m:t xml:space="preserve">+</m:t>
            </m:r>
          </m:sub>
        </m:sSub>
        <m:r>
          <m:t xml:space="preserve">]</m:t>
        </m:r>
        <m:r>
          <m:t xml:space="preserve">=</m:t>
        </m:r>
        <m:r>
          <m:t xml:space="preserve">ε</m:t>
        </m:r>
        <m:r>
          <m:t xml:space="preserve">ln</m:t>
        </m:r>
        <m:r>
          <m:t xml:space="preserve"> </m:t>
        </m:r>
        <m:r>
          <m:t xml:space="preserve">2</m:t>
        </m:r>
        <m:r>
          <m:t xml:space="preserve">.</m:t>
        </m:r>
      </m:oMath>
      <w:r>
        <w:rPr>
          <w:sz w:val="20"/>
        </w:rPr>
        <w:t xml:space="preserve">   (8)</w:t>
      </w:r>
    </w:p>
    <w:p>
      <w:r>
        <w:t>The expectation is a mathematical representation of smoothing, not an assumption that physical voltage noise is logistic. Positive averaging preserves the fixed curve’s range, monotonicity and Lipschitz constant. It does not preserve exact finite saturation or exact deadband response. It also does not automatically preserve an envelope whose bounds depend on the shifted voltage.</w:t>
      </w:r>
    </w:p>
    <w:p>
      <w:pPr>
        <w:keepNext/>
      </w:pPr>
      <w:r>
        <w:t>Proposition 1. If f is nonincreasing and L-Lipschitz, the common-width approximation satisfies the following global value bound:</w:t>
      </w:r>
    </w:p>
    <w:p>
      <w:pPr>
        <w:keepLines/>
        <w:spacing w:before="80" w:after="160"/>
        <w:jc w:val="center"/>
      </w:pPr>
      <m:oMath>
        <m:sSub>
          <m:e>
            <m:r>
              <m:t xml:space="preserve">sup</m:t>
            </m:r>
          </m:e>
          <m:sub>
            <m:r>
              <m:t xml:space="preserve">v</m:t>
            </m:r>
          </m:sub>
        </m:sSub>
        <m:r>
          <m:t xml:space="preserve">|</m:t>
        </m:r>
        <m:sSub>
          <m:e>
            <m:r>
              <m:t xml:space="preserve">f</m:t>
            </m:r>
          </m:e>
          <m:sub>
            <m:r>
              <m:t xml:space="preserve">ε</m:t>
            </m:r>
          </m:sub>
        </m:sSub>
        <m:r>
          <m:t xml:space="preserve">(</m:t>
        </m:r>
        <m:r>
          <m:t xml:space="preserve">v</m:t>
        </m:r>
        <m:r>
          <m:t xml:space="preserve">)</m:t>
        </m:r>
        <m:r>
          <m:t xml:space="preserve">-</m:t>
        </m:r>
        <m:r>
          <m:t xml:space="preserve">f</m:t>
        </m:r>
        <m:r>
          <m:t xml:space="preserve">(</m:t>
        </m:r>
        <m:r>
          <m:t xml:space="preserve">v</m:t>
        </m:r>
        <m:r>
          <m:t xml:space="preserve">)</m:t>
        </m:r>
        <m:r>
          <m:t xml:space="preserve">|</m:t>
        </m:r>
        <m:r>
          <m:t xml:space="preserve">≤</m:t>
        </m:r>
        <m:r>
          <m:t xml:space="preserve"> </m:t>
        </m:r>
        <m:r>
          <m:t xml:space="preserve">L</m:t>
        </m:r>
        <m:r>
          <m:t xml:space="preserve">ε</m:t>
        </m:r>
        <m:r>
          <m:t xml:space="preserve">ln</m:t>
        </m:r>
        <m:r>
          <m:t xml:space="preserve"> </m:t>
        </m:r>
        <m:r>
          <m:t xml:space="preserve">2</m:t>
        </m:r>
        <m:r>
          <m:t xml:space="preserve">.</m:t>
        </m:r>
      </m:oMath>
      <w:r>
        <w:rPr>
          <w:sz w:val="20"/>
        </w:rPr>
        <w:t xml:space="preserve">   (9)</w:t>
      </w:r>
    </w:p>
    <w:p>
      <w:r>
        <w:t>Proof. When Z &gt; 0, f(v − Z) − f(v) lies between 0 and LZ. When Z &lt; 0, it lies between LZ and 0. The expectation of the positive contribution is at most L E[Z₊], and the magnitude of the negative contribution is at most L E[(−Z)₊]. Symmetry makes both upper bounds L ε ln 2. Their signed sum therefore lies between the negative and positive bounds. This uses monotonicity and is tighter than the generic Lipschitz estimate L E|Z| = 2L ε ln 2. The proof establishes the stated bound without asserting novelty of the smoothing theory.</w:t>
      </w:r>
    </w:p>
    <w:p>
      <w:pPr>
        <w:keepNext/>
      </w:pPr>
      <w:r>
        <w:t>For (3), L = max(k₊, k₋). If an admissible physical curve error is ηQ Mvar, a sufficient voltage-width choice is</w:t>
      </w:r>
    </w:p>
    <w:p>
      <w:pPr>
        <w:keepLines/>
        <w:spacing w:before="80" w:after="160"/>
        <w:jc w:val="center"/>
      </w:pPr>
      <m:oMath>
        <m:r>
          <m:t xml:space="preserve">ε</m:t>
        </m:r>
        <m:r>
          <m:t xml:space="preserve">≤</m:t>
        </m:r>
        <m:f>
          <m:num>
            <m:sSub>
              <m:e>
                <m:r>
                  <m:t xml:space="preserve">η</m:t>
                </m:r>
              </m:e>
              <m:sub>
                <m:r>
                  <m:t xml:space="preserve">Q</m:t>
                </m:r>
              </m:sub>
            </m:sSub>
          </m:num>
          <m:den>
            <m:sSub>
              <m:e>
                <m:r>
                  <m:t xml:space="preserve">S</m:t>
                </m:r>
              </m:e>
              <m:sub>
                <m:r>
                  <m:t xml:space="preserve">b</m:t>
                </m:r>
              </m:sub>
            </m:sSub>
            <m:r>
              <m:t xml:space="preserve"> </m:t>
            </m:r>
            <m:r>
              <m:t xml:space="preserve">L</m:t>
            </m:r>
            <m:r>
              <m:t xml:space="preserve">ln</m:t>
            </m:r>
            <m:r>
              <m:t xml:space="preserve"> </m:t>
            </m:r>
            <m:r>
              <m:t xml:space="preserve">2</m:t>
            </m:r>
          </m:den>
        </m:f>
        <m:r>
          <m:t xml:space="preserve">.</m:t>
        </m:r>
      </m:oMath>
      <w:r>
        <w:rPr>
          <w:sz w:val="20"/>
        </w:rPr>
        <w:t xml:space="preserve">   (10)</w:t>
      </w:r>
    </w:p>
    <w:p>
      <w:r>
        <w:t>When gains are decisions, this budget must use their allowed maximum or be enforced consistently at each candidate. Numerically stable logarithmic and logistic evaluation is required; cancelling large paired hinge values also deserves testing. Solver scaling and derivative accuracy should be checked across the actual transition widths, not just at ordinary operating voltages.</w:t>
      </w:r>
    </w:p>
    <w:p>
      <w:pPr>
        <w:pStyle w:val="Heading2"/>
      </w:pPr>
      <w:r>
        <w:t>5.2 Derivatives and compact smoothing</w:t>
      </w:r>
    </w:p>
    <w:p>
      <w:r>
        <w:t>Uniform value accuracy does not imply uniform derivative accuracy at a kink. The softplus derivative at the centre of an isolated transition is one half of the hinge’s slope change for every positive ε. Shrinking ε reduces the affected region but increases curvature. A design near a transition therefore requires one-sided mode assessment and physical trajectory tests, even when its curve-value error is small.</w:t>
      </w:r>
    </w:p>
    <w:p>
      <w:r>
        <w:t>A compact C² alternative uses t = (x + h)/(2h) and sets rh(x) = 0 for x ≤ −h, rh(x) = h(2t³ − t⁴) for −h &lt; x &lt; h, and rh(x) = x for x ≥ h. Its derivative is 3t² − 2t³ within the transition. The associated symmetric averaging kernel is supported on [−h,h] and has E[Z₊] = 3h/16. The same monotonicity argument gives a value bound 3Lh/16. Exact plateaus are retained outside the transition neighbourhoods, while the exact deadband core narrows unless the adjacent breakpoints are redesigned.</w:t>
      </w:r>
    </w:p>
    <w:p>
      <w:r>
        <w:t>Softplus, compact smoothing and exact active-set or semismooth formulations should be treated as competing methods. Genuine discrete tap or mode decisions remain discrete even if the droop curve is smoothed. A fitted smooth hardware response is a different modelling task: its transition width is then a physical identified parameter, not a numerical quantity to drive towards zero.</w:t>
      </w:r>
    </w:p>
    <w:p>
      <w:pPr>
        <w:pStyle w:val="Heading1"/>
      </w:pPr>
      <w:r>
        <w:t>6 From approximation error to security margins</w:t>
      </w:r>
    </w:p>
    <w:p>
      <w:pPr>
        <w:pStyle w:val="Heading2"/>
      </w:pPr>
      <w:r>
        <w:t>6.1 Exact equilibrium correction</w:t>
      </w:r>
    </w:p>
    <w:p>
      <w:pPr>
        <w:keepNext/>
      </w:pPr>
      <w:r>
        <w:t>Let z now collect all equilibrium unknowns and let R(z,θ) = 0 denote the exact equilibrium equations on a specified operating branch. Evaluate the exact residual at a candidate z̃ obtained from the smooth problem. Where the exact residual is differentiable and its Jacobian is nonsingular, a local correction is</w:t>
      </w:r>
    </w:p>
    <w:p>
      <w:pPr>
        <w:keepLines/>
        <w:spacing w:before="80" w:after="160"/>
        <w:jc w:val="center"/>
      </w:pPr>
      <m:oMath>
        <m:r>
          <m:t xml:space="preserve">Δ</m:t>
        </m:r>
        <m:r>
          <m:t xml:space="preserve"> </m:t>
        </m:r>
        <m:r>
          <m:t xml:space="preserve">z</m:t>
        </m:r>
        <m:r>
          <m:t xml:space="preserve">≈</m:t>
        </m:r>
        <m:r>
          <m:t xml:space="preserve">-</m:t>
        </m:r>
        <m:sSub>
          <m:e>
            <m:r>
              <m:t xml:space="preserve">R</m:t>
            </m:r>
          </m:e>
          <m:sub>
            <m:r>
              <m:t xml:space="preserve">z</m:t>
            </m:r>
          </m:sub>
        </m:sSub>
        <m:r>
          <m:t xml:space="preserve">(</m:t>
        </m:r>
        <m:acc>
          <m:accPr>
            <m:chr m:val="̃"/>
          </m:accPr>
          <m:e>
            <m:r>
              <m:t xml:space="preserve">z</m:t>
            </m:r>
          </m:e>
        </m:acc>
        <m:r>
          <m:t xml:space="preserve">,</m:t>
        </m:r>
        <m:r>
          <m:t xml:space="preserve">θ</m:t>
        </m:r>
        <m:sSup>
          <m:e>
            <m:r>
              <m:t xml:space="preserve">)</m:t>
            </m:r>
          </m:e>
          <m:sup>
            <m:r>
              <m:t xml:space="preserve">-</m:t>
            </m:r>
            <m:r>
              <m:t xml:space="preserve">1</m:t>
            </m:r>
          </m:sup>
        </m:sSup>
        <m:r>
          <m:t xml:space="preserve">R</m:t>
        </m:r>
        <m:r>
          <m:t xml:space="preserve">(</m:t>
        </m:r>
        <m:acc>
          <m:accPr>
            <m:chr m:val="̃"/>
          </m:accPr>
          <m:e>
            <m:r>
              <m:t xml:space="preserve">z</m:t>
            </m:r>
          </m:e>
        </m:acc>
        <m:r>
          <m:t xml:space="preserve">,</m:t>
        </m:r>
        <m:r>
          <m:t xml:space="preserve">θ</m:t>
        </m:r>
        <m:r>
          <m:t xml:space="preserve">)</m:t>
        </m:r>
        <m:r>
          <m:t xml:space="preserve">.</m:t>
        </m:r>
      </m:oMath>
      <w:r>
        <w:rPr>
          <w:sz w:val="20"/>
        </w:rPr>
        <w:t xml:space="preserve">   (11)</w:t>
      </w:r>
    </w:p>
    <w:p>
      <w:r>
        <w:t>This is a first-order estimate, not a nonlinear existence certificate. Near singularity, small residuals can correspond to large state changes. At a kink, an ordinary derivative may not exist, and an exact active-set or generalized-derivative treatment is needed. In practice, fix the settings, re-solve the exact equilibrium and report changes in every critical constraint, not only the droop residual.</w:t>
      </w:r>
    </w:p>
    <w:p>
      <w:pPr>
        <w:pStyle w:val="Heading2"/>
      </w:pPr>
      <w:r>
        <w:t>6.2 A conditional residual certificate</w:t>
      </w:r>
    </w:p>
    <w:p>
      <w:pPr>
        <w:keepNext/>
      </w:pPr>
      <w:r>
        <w:t>A restricted affine model provides a useful rigorous reference. Suppose v = v0 + Hq and define the exact controller map Φ(q) = f(v0 + Hq) on a fixed capability box B. Assume Φ maps B into itself and is a contraction with constant β &lt; 1 in a stated norm. For any candidate q̃ in B, define ṽ = v0 + Hq̃ and r = q̃ − Φ(q̃). Then the unique exact equilibrium q* satisfies</w:t>
      </w:r>
    </w:p>
    <w:p>
      <w:pPr>
        <w:keepLines/>
        <w:spacing w:before="80" w:after="160"/>
        <w:jc w:val="center"/>
      </w:pPr>
      <m:oMath>
        <m:r>
          <m:t xml:space="preserve">‖</m:t>
        </m:r>
        <m:sSup>
          <m:e>
            <m:r>
              <m:t xml:space="preserve">q</m:t>
            </m:r>
          </m:e>
          <m:sup>
            <m:r>
              <m:t xml:space="preserve">*</m:t>
            </m:r>
          </m:sup>
        </m:sSup>
        <m:r>
          <m:t xml:space="preserve">-</m:t>
        </m:r>
        <m:acc>
          <m:accPr>
            <m:chr m:val="̃"/>
          </m:accPr>
          <m:e>
            <m:r>
              <m:t xml:space="preserve">q</m:t>
            </m:r>
          </m:e>
        </m:acc>
        <m:r>
          <m:t xml:space="preserve">‖</m:t>
        </m:r>
        <m:r>
          <m:t xml:space="preserve">≤</m:t>
        </m:r>
        <m:f>
          <m:num>
            <m:r>
              <m:t xml:space="preserve">‖</m:t>
            </m:r>
            <m:r>
              <m:t xml:space="preserve">r</m:t>
            </m:r>
            <m:r>
              <m:t xml:space="preserve">‖</m:t>
            </m:r>
          </m:num>
          <m:den>
            <m:r>
              <m:t xml:space="preserve">1</m:t>
            </m:r>
            <m:r>
              <m:t xml:space="preserve">-</m:t>
            </m:r>
            <m:r>
              <m:t xml:space="preserve">β</m:t>
            </m:r>
          </m:den>
        </m:f>
        <m:r>
          <m:t xml:space="preserve">,</m:t>
        </m:r>
        <m:r>
          <m:t xml:space="preserve">  </m:t>
        </m:r>
        <m:r>
          <m:t xml:space="preserve"> </m:t>
        </m:r>
        <m:r>
          <m:t xml:space="preserve">‖</m:t>
        </m:r>
        <m:sSup>
          <m:e>
            <m:r>
              <m:t xml:space="preserve">v</m:t>
            </m:r>
          </m:e>
          <m:sup>
            <m:r>
              <m:t xml:space="preserve">*</m:t>
            </m:r>
          </m:sup>
        </m:sSup>
        <m:r>
          <m:t xml:space="preserve">-</m:t>
        </m:r>
        <m:acc>
          <m:accPr>
            <m:chr m:val="̃"/>
          </m:accPr>
          <m:e>
            <m:r>
              <m:t xml:space="preserve">v</m:t>
            </m:r>
          </m:e>
        </m:acc>
        <m:r>
          <m:t xml:space="preserve">‖</m:t>
        </m:r>
        <m:r>
          <m:t xml:space="preserve">≤</m:t>
        </m:r>
        <m:f>
          <m:num>
            <m:r>
              <m:t xml:space="preserve">‖</m:t>
            </m:r>
            <m:r>
              <m:t xml:space="preserve">H</m:t>
            </m:r>
            <m:r>
              <m:t xml:space="preserve">‖</m:t>
            </m:r>
            <m:r>
              <m:t xml:space="preserve">‖</m:t>
            </m:r>
            <m:r>
              <m:t xml:space="preserve">r</m:t>
            </m:r>
            <m:r>
              <m:t xml:space="preserve">‖</m:t>
            </m:r>
          </m:num>
          <m:den>
            <m:r>
              <m:t xml:space="preserve">1</m:t>
            </m:r>
            <m:r>
              <m:t xml:space="preserve">-</m:t>
            </m:r>
            <m:r>
              <m:t xml:space="preserve">β</m:t>
            </m:r>
          </m:den>
        </m:f>
        <m:r>
          <m:t xml:space="preserve">.</m:t>
        </m:r>
      </m:oMath>
      <w:r>
        <w:rPr>
          <w:sz w:val="20"/>
        </w:rPr>
        <w:t xml:space="preserve">   (12)</w:t>
      </w:r>
    </w:p>
    <w:p>
      <w:r>
        <w:t>Proof. Add and subtract Φ(q̃) in q* − q̃, apply the contraction inequality, and rearrange. A usable sufficient condition is ||Kmax H||∞ &lt; 1, where Kmax contains the largest directional gain of each controller. This quantity can then be taken as β for the infinity norm. This requirement is conservative and is not a necessary condition for physical stability.</w:t>
      </w:r>
    </w:p>
    <w:p>
      <w:r>
        <w:t>For a constraint g(q) ≤ 0 with Lipschitz constant ℓg on the box, the margin g(q̃) + ℓg ||r||/(1 − β) ≤ 0 guarantees satisfaction at q*. Analogous bounds apply to composed voltage constraints. The certificate is conditional on the affine branch, fixed bounds and contraction assumptions. Extending it to nonlinear AC equations requires region-wide regularity and remainder control; applying the formula with a single local sensitivity matrix does not provide that extension.</w:t>
      </w:r>
    </w:p>
    <w:p>
      <w:pPr>
        <w:pStyle w:val="Heading2"/>
      </w:pPr>
      <w:r>
        <w:t>6.3 Transfer of local linear stability</w:t>
      </w:r>
    </w:p>
    <w:p>
      <w:r>
        <w:t>Equilibrium feasibility and dynamic stability require separate tests. For a smooth, regular differential-algebraic model, the reduced linear matrix is A = Fx − Fz Gz⁻¹ Gx. Relevant oscillatory modes λ = α + jω have damping ratio −α/sqrt(α² + ω²); real modes should be assessed through decay rate. The reference angle and other intentional neutral freedoms must be removed consistently before interpreting stability.</w:t>
      </w:r>
    </w:p>
    <w:p>
      <w:pPr>
        <w:keepNext/>
      </w:pPr>
      <w:r>
        <w:t>Suppose an approximate implementation has a Hurwitz matrix Ã and a positive-definite matrix P satisfying</w:t>
      </w:r>
    </w:p>
    <w:p>
      <w:pPr>
        <w:keepLines/>
        <w:spacing w:before="80" w:after="160"/>
        <w:jc w:val="center"/>
      </w:pPr>
      <m:oMath>
        <m:sSup>
          <m:e>
            <m:acc>
              <m:accPr>
                <m:chr m:val="̃"/>
              </m:accPr>
              <m:e>
                <m:r>
                  <m:t xml:space="preserve">A</m:t>
                </m:r>
              </m:e>
            </m:acc>
          </m:e>
          <m:sup>
            <m:r>
              <m:t xml:space="preserve">T</m:t>
            </m:r>
          </m:sup>
        </m:sSup>
        <m:r>
          <m:t xml:space="preserve"> </m:t>
        </m:r>
        <m:r>
          <m:t xml:space="preserve">P</m:t>
        </m:r>
        <m:r>
          <m:t xml:space="preserve">+</m:t>
        </m:r>
        <m:r>
          <m:t xml:space="preserve">P</m:t>
        </m:r>
        <m:acc>
          <m:accPr>
            <m:chr m:val="̃"/>
          </m:accPr>
          <m:e>
            <m:r>
              <m:t xml:space="preserve">A</m:t>
            </m:r>
          </m:e>
        </m:acc>
        <m:r>
          <m:t xml:space="preserve">=</m:t>
        </m:r>
        <m:r>
          <m:t xml:space="preserve">-</m:t>
        </m:r>
        <m:r>
          <m:t xml:space="preserve">W</m:t>
        </m:r>
        <m:r>
          <m:t xml:space="preserve">,</m:t>
        </m:r>
        <m:r>
          <m:t xml:space="preserve">  </m:t>
        </m:r>
        <m:r>
          <m:t xml:space="preserve"> </m:t>
        </m:r>
        <m:r>
          <m:t xml:space="preserve">W</m:t>
        </m:r>
        <m:r>
          <m:t xml:space="preserve">&gt;</m:t>
        </m:r>
        <m:r>
          <m:t xml:space="preserve">0</m:t>
        </m:r>
        <m:r>
          <m:t xml:space="preserve">.</m:t>
        </m:r>
      </m:oMath>
      <w:r>
        <w:rPr>
          <w:sz w:val="20"/>
        </w:rPr>
        <w:t xml:space="preserve">   (13)</w:t>
      </w:r>
    </w:p>
    <w:p>
      <w:pPr>
        <w:keepNext/>
      </w:pPr>
      <w:r>
        <w:t>If the exact model has the same state coordinates and regime, write A = Ã + ΔA. A sufficient condition for its linear stability is</w:t>
      </w:r>
    </w:p>
    <w:p>
      <w:pPr>
        <w:keepLines/>
        <w:spacing w:before="80" w:after="160"/>
        <w:jc w:val="center"/>
      </w:pPr>
      <m:oMath>
        <m:r>
          <m:t xml:space="preserve">2</m:t>
        </m:r>
        <m:r>
          <m:t xml:space="preserve">‖</m:t>
        </m:r>
        <m:r>
          <m:t xml:space="preserve">P</m:t>
        </m:r>
        <m:sSub>
          <m:e>
            <m:r>
              <m:t xml:space="preserve">‖</m:t>
            </m:r>
          </m:e>
          <m:sub>
            <m:r>
              <m:t xml:space="preserve">2</m:t>
            </m:r>
          </m:sub>
        </m:sSub>
        <m:r>
          <m:t xml:space="preserve">‖</m:t>
        </m:r>
        <m:r>
          <m:t xml:space="preserve">Δ</m:t>
        </m:r>
        <m:r>
          <m:t xml:space="preserve"> </m:t>
        </m:r>
        <m:r>
          <m:t xml:space="preserve">A</m:t>
        </m:r>
        <m:sSub>
          <m:e>
            <m:r>
              <m:t xml:space="preserve">‖</m:t>
            </m:r>
          </m:e>
          <m:sub>
            <m:r>
              <m:t xml:space="preserve">2</m:t>
            </m:r>
          </m:sub>
        </m:sSub>
        <m:r>
          <m:t xml:space="preserve">&lt;</m:t>
        </m:r>
        <m:sSub>
          <m:e>
            <m:r>
              <m:t xml:space="preserve">λ</m:t>
            </m:r>
          </m:e>
          <m:sub>
            <m:r>
              <m:t xml:space="preserve">m</m:t>
            </m:r>
            <m:r>
              <m:t xml:space="preserve">i</m:t>
            </m:r>
            <m:r>
              <m:t xml:space="preserve">n</m:t>
            </m:r>
          </m:sub>
        </m:sSub>
        <m:r>
          <m:t xml:space="preserve">(</m:t>
        </m:r>
        <m:r>
          <m:t xml:space="preserve">W</m:t>
        </m:r>
        <m:r>
          <m:t xml:space="preserve">)</m:t>
        </m:r>
        <m:r>
          <m:t xml:space="preserve">.</m:t>
        </m:r>
      </m:oMath>
      <w:r>
        <w:rPr>
          <w:sz w:val="20"/>
        </w:rPr>
        <w:t xml:space="preserve">   (14)</w:t>
      </w:r>
    </w:p>
    <w:p>
      <w:r>
        <w:t>The result follows by bounding ΔAᵀP + PΔA in the Lyapunov inequality. The perturbation must include equilibrium movement and all relevant derivative changes. A bound on curve values alone cannot establish (14). Different state dimensions, breakpoint crossings and switching require a different argument. Even when (14) holds, it certifies local linear stability, not a specified damping ratio, fault recovery, or stability under arbitrary switching.</w:t>
      </w:r>
    </w:p>
    <w:p>
      <w:pPr>
        <w:pStyle w:val="Heading1"/>
      </w:pPr>
      <w:r>
        <w:t>7 Coordinated optimisation and solution architecture</w:t>
      </w:r>
    </w:p>
    <w:p>
      <w:pPr>
        <w:pStyle w:val="Heading2"/>
      </w:pPr>
      <w:r>
        <w:t>7.1 Scenario formulation</w:t>
      </w:r>
    </w:p>
    <w:p>
      <w:pPr>
        <w:keepNext/>
      </w:pPr>
      <w:r>
        <w:t>Let θ denote shared offline settings, u0 the pre-event schedule, and us the permitted subsequent controls. For scenario s, define a steady-state residual Rs and a dynamic acceptance functional Ψs obtained from the corresponding trajectory. A conceptual formulation is</w:t>
      </w:r>
    </w:p>
    <w:p>
      <w:pPr>
        <w:keepNext/>
        <w:keepLines/>
        <w:spacing w:before="80" w:after="160"/>
        <w:jc w:val="center"/>
      </w:pPr>
      <m:oMath>
        <m:sSub>
          <m:e>
            <m:r>
              <m:t xml:space="preserve">min</m:t>
            </m:r>
          </m:e>
          <m:sub>
            <m:r>
              <m:t xml:space="preserve">θ</m:t>
            </m:r>
            <m:r>
              <m:t xml:space="preserve">,</m:t>
            </m:r>
            <m:sSub>
              <m:e>
                <m:r>
                  <m:t xml:space="preserve">u</m:t>
                </m:r>
              </m:e>
              <m:sub>
                <m:r>
                  <m:t xml:space="preserve">0</m:t>
                </m:r>
              </m:sub>
            </m:sSub>
            <m:r>
              <m:t xml:space="preserve">,</m:t>
            </m:r>
            <m:r>
              <m:t xml:space="preserve">{</m:t>
            </m:r>
            <m:sSub>
              <m:e>
                <m:r>
                  <m:t xml:space="preserve">u</m:t>
                </m:r>
              </m:e>
              <m:sub>
                <m:r>
                  <m:t xml:space="preserve">s</m:t>
                </m:r>
              </m:sub>
            </m:sSub>
            <m:r>
              <m:t xml:space="preserve">,</m:t>
            </m:r>
            <m:sSub>
              <m:e>
                <m:r>
                  <m:t xml:space="preserve">z</m:t>
                </m:r>
              </m:e>
              <m:sub>
                <m:r>
                  <m:t xml:space="preserve">s</m:t>
                </m:r>
              </m:sub>
            </m:sSub>
            <m:r>
              <m:t xml:space="preserve">}</m:t>
            </m:r>
          </m:sub>
        </m:sSub>
        <m:r>
          <m:t xml:space="preserve"> </m:t>
        </m:r>
        <m:sSub>
          <m:e>
            <m:r>
              <m:t xml:space="preserve">C</m:t>
            </m:r>
          </m:e>
          <m:sub>
            <m:r>
              <m:t xml:space="preserve">o</m:t>
            </m:r>
            <m:r>
              <m:t xml:space="preserve">p</m:t>
            </m:r>
          </m:sub>
        </m:sSub>
        <m:r>
          <m:t xml:space="preserve">+</m:t>
        </m:r>
        <m:sSub>
          <m:e>
            <m:r>
              <m:t xml:space="preserve">C</m:t>
            </m:r>
          </m:e>
          <m:sub>
            <m:r>
              <m:t xml:space="preserve">l</m:t>
            </m:r>
            <m:r>
              <m:t xml:space="preserve">o</m:t>
            </m:r>
            <m:r>
              <m:t xml:space="preserve">s</m:t>
            </m:r>
            <m:r>
              <m:t xml:space="preserve">s</m:t>
            </m:r>
          </m:sub>
        </m:sSub>
        <m:r>
          <m:t xml:space="preserve">+</m:t>
        </m:r>
        <m:sSub>
          <m:e>
            <m:r>
              <m:t xml:space="preserve">C</m:t>
            </m:r>
          </m:e>
          <m:sub>
            <m:r>
              <m:t xml:space="preserve">c</m:t>
            </m:r>
            <m:r>
              <m:t xml:space="preserve">u</m:t>
            </m:r>
            <m:r>
              <m:t xml:space="preserve">r</m:t>
            </m:r>
            <m:r>
              <m:t xml:space="preserve">t</m:t>
            </m:r>
          </m:sub>
        </m:sSub>
        <m:r>
          <m:t xml:space="preserve">+</m:t>
        </m:r>
        <m:sSub>
          <m:e>
            <m:r>
              <m:t xml:space="preserve">C</m:t>
            </m:r>
          </m:e>
          <m:sub>
            <m:r>
              <m:t xml:space="preserve">c</m:t>
            </m:r>
            <m:r>
              <m:t xml:space="preserve">h</m:t>
            </m:r>
            <m:r>
              <m:t xml:space="preserve">a</m:t>
            </m:r>
            <m:r>
              <m:t xml:space="preserve">n</m:t>
            </m:r>
            <m:r>
              <m:t xml:space="preserve">g</m:t>
            </m:r>
            <m:r>
              <m:t xml:space="preserve">e</m:t>
            </m:r>
          </m:sub>
        </m:sSub>
      </m:oMath>
      <w:r>
        <w:rPr>
          <w:sz w:val="20"/>
        </w:rPr>
        <w:t xml:space="preserve">   (15)</w:t>
      </w:r>
    </w:p>
    <w:p>
      <w:pPr>
        <w:keepLines/>
        <w:spacing w:before="80" w:after="160"/>
        <w:jc w:val="center"/>
      </w:pPr>
      <m:oMath>
        <m:sSub>
          <m:e>
            <m:r>
              <m:t xml:space="preserve">R</m:t>
            </m:r>
          </m:e>
          <m:sub>
            <m:r>
              <m:t xml:space="preserve">s</m:t>
            </m:r>
          </m:sub>
        </m:sSub>
        <m:r>
          <m:t xml:space="preserve">(</m:t>
        </m:r>
        <m:sSub>
          <m:e>
            <m:r>
              <m:t xml:space="preserve">z</m:t>
            </m:r>
          </m:e>
          <m:sub>
            <m:r>
              <m:t xml:space="preserve">s</m:t>
            </m:r>
          </m:sub>
        </m:sSub>
        <m:r>
          <m:t xml:space="preserve">,</m:t>
        </m:r>
        <m:r>
          <m:t xml:space="preserve">θ</m:t>
        </m:r>
        <m:r>
          <m:t xml:space="preserve">,</m:t>
        </m:r>
        <m:sSub>
          <m:e>
            <m:r>
              <m:t xml:space="preserve">u</m:t>
            </m:r>
          </m:e>
          <m:sub>
            <m:r>
              <m:t xml:space="preserve">0</m:t>
            </m:r>
          </m:sub>
        </m:sSub>
        <m:r>
          <m:t xml:space="preserve">,</m:t>
        </m:r>
        <m:sSub>
          <m:e>
            <m:r>
              <m:t xml:space="preserve">u</m:t>
            </m:r>
          </m:e>
          <m:sub>
            <m:r>
              <m:t xml:space="preserve">s</m:t>
            </m:r>
          </m:sub>
        </m:sSub>
        <m:r>
          <m:t xml:space="preserve">)</m:t>
        </m:r>
        <m:r>
          <m:t xml:space="preserve">=</m:t>
        </m:r>
        <m:r>
          <m:t xml:space="preserve">0</m:t>
        </m:r>
        <m:r>
          <m:t xml:space="preserve">,</m:t>
        </m:r>
        <m:r>
          <m:t xml:space="preserve">  </m:t>
        </m:r>
        <m:r>
          <m:t xml:space="preserve"> </m:t>
        </m:r>
        <m:sSub>
          <m:e>
            <m:r>
              <m:t xml:space="preserve">g</m:t>
            </m:r>
          </m:e>
          <m:sub>
            <m:r>
              <m:t xml:space="preserve">s</m:t>
            </m:r>
          </m:sub>
        </m:sSub>
        <m:r>
          <m:t xml:space="preserve">(</m:t>
        </m:r>
        <m:sSub>
          <m:e>
            <m:r>
              <m:t xml:space="preserve">z</m:t>
            </m:r>
          </m:e>
          <m:sub>
            <m:r>
              <m:t xml:space="preserve">s</m:t>
            </m:r>
          </m:sub>
        </m:sSub>
        <m:r>
          <m:t xml:space="preserve">,</m:t>
        </m:r>
        <m:r>
          <m:t xml:space="preserve">θ</m:t>
        </m:r>
        <m:r>
          <m:t xml:space="preserve">,</m:t>
        </m:r>
        <m:sSub>
          <m:e>
            <m:r>
              <m:t xml:space="preserve">u</m:t>
            </m:r>
          </m:e>
          <m:sub>
            <m:r>
              <m:t xml:space="preserve">s</m:t>
            </m:r>
          </m:sub>
        </m:sSub>
        <m:r>
          <m:t xml:space="preserve">)</m:t>
        </m:r>
        <m:r>
          <m:t xml:space="preserve">≤</m:t>
        </m:r>
        <m:r>
          <m:t xml:space="preserve">0</m:t>
        </m:r>
        <m:r>
          <m:t xml:space="preserve">,</m:t>
        </m:r>
        <m:r>
          <m:t xml:space="preserve">  </m:t>
        </m:r>
        <m:r>
          <m:t xml:space="preserve"> </m:t>
        </m:r>
        <m:sSub>
          <m:e>
            <m:r>
              <m:t xml:space="preserve">Ψ</m:t>
            </m:r>
          </m:e>
          <m:sub>
            <m:r>
              <m:t xml:space="preserve">s</m:t>
            </m:r>
          </m:sub>
        </m:sSub>
        <m:r>
          <m:t xml:space="preserve">≤</m:t>
        </m:r>
        <m:r>
          <m:t xml:space="preserve">0</m:t>
        </m:r>
        <m:r>
          <m:t xml:space="preserve">.</m:t>
        </m:r>
      </m:oMath>
      <w:r>
        <w:rPr>
          <w:sz w:val="20"/>
        </w:rPr>
        <w:t xml:space="preserve">   (16)</w:t>
      </w:r>
    </w:p>
    <w:p>
      <w:r>
        <w:t>The inequalities include equipment capability, voltage and thermal limits, scenario-appropriate reserve and implementable settings. Dynamic acceptance covers the chosen decay, recovery and mode-duration criteria. Causality constraints link decisions across scenarios with common information. Where probabilities are defensible, they may weight expected operating costs; credible contingency requirements should not disappear merely because a scenario receives a small objective weight.</w:t>
      </w:r>
    </w:p>
    <w:p>
      <w:r>
        <w:t>Security requirements should be enforced as explicit constraints, with cost and remaining reserve explored through a Pareto study. Diagnostic slacks can expose infeasibility but must not be interpreted as an accepted design. In particular, penalising deviation from a reactive bias that is itself freely adjustable may provide little reserve protection; the bias policy and reserve definition must remain explicit.</w:t>
      </w:r>
    </w:p>
    <w:p>
      <w:pPr>
        <w:pStyle w:val="Heading2"/>
      </w:pPr>
      <w:r>
        <w:t>7.2 Sparse and reduced space methods</w:t>
      </w:r>
    </w:p>
    <w:p>
      <w:r>
        <w:t>A sparse full-space AC formulation is the primary computational baseline. Each plant equation should depend only on its own settings and measured quantities, with network coupling retained through bus and branch equations. Explicit formation of dense inverse sensitivities is unnecessary. Selected sensitivity products can be computed by sparse linear solves.</w:t>
      </w:r>
    </w:p>
    <w:p>
      <w:pPr>
        <w:keepNext/>
      </w:pPr>
      <w:r>
        <w:t>For a scalar reduced objective J(z,θ) and a regular equilibrium, an adjoint provides</w:t>
      </w:r>
    </w:p>
    <w:p>
      <w:pPr>
        <w:keepLines/>
        <w:spacing w:before="80" w:after="160"/>
        <w:jc w:val="center"/>
      </w:pPr>
      <m:oMath>
        <m:sSubSup>
          <m:e>
            <m:r>
              <m:t xml:space="preserve">R</m:t>
            </m:r>
          </m:e>
          <m:sub>
            <m:r>
              <m:t xml:space="preserve">z</m:t>
            </m:r>
          </m:sub>
          <m:sup>
            <m:r>
              <m:t xml:space="preserve">T</m:t>
            </m:r>
          </m:sup>
        </m:sSubSup>
        <m:r>
          <m:t xml:space="preserve">λ</m:t>
        </m:r>
        <m:r>
          <m:t xml:space="preserve">=</m:t>
        </m:r>
        <m:sSubSup>
          <m:e>
            <m:r>
              <m:t xml:space="preserve">J</m:t>
            </m:r>
          </m:e>
          <m:sub>
            <m:r>
              <m:t xml:space="preserve">z</m:t>
            </m:r>
          </m:sub>
          <m:sup>
            <m:r>
              <m:t xml:space="preserve">T</m:t>
            </m:r>
          </m:sup>
        </m:sSubSup>
        <m:r>
          <m:t xml:space="preserve">,</m:t>
        </m:r>
        <m:r>
          <m:t xml:space="preserve">  </m:t>
        </m:r>
        <m:r>
          <m:t xml:space="preserve"> </m:t>
        </m:r>
        <m:f>
          <m:num>
            <m:r>
              <m:t xml:space="preserve">d</m:t>
            </m:r>
            <m:r>
              <m:t xml:space="preserve">J</m:t>
            </m:r>
          </m:num>
          <m:den>
            <m:r>
              <m:t xml:space="preserve">d</m:t>
            </m:r>
            <m:r>
              <m:t xml:space="preserve">θ</m:t>
            </m:r>
          </m:den>
        </m:f>
        <m:r>
          <m:t xml:space="preserve">=</m:t>
        </m:r>
        <m:sSub>
          <m:e>
            <m:r>
              <m:t xml:space="preserve">J</m:t>
            </m:r>
          </m:e>
          <m:sub>
            <m:r>
              <m:t xml:space="preserve">θ</m:t>
            </m:r>
          </m:sub>
        </m:sSub>
        <m:r>
          <m:t xml:space="preserve">-</m:t>
        </m:r>
        <m:sSup>
          <m:e>
            <m:r>
              <m:t xml:space="preserve">λ</m:t>
            </m:r>
          </m:e>
          <m:sup>
            <m:r>
              <m:t xml:space="preserve">T</m:t>
            </m:r>
          </m:sup>
        </m:sSup>
        <m:r>
          <m:t xml:space="preserve"> </m:t>
        </m:r>
        <m:sSub>
          <m:e>
            <m:r>
              <m:t xml:space="preserve">R</m:t>
            </m:r>
          </m:e>
          <m:sub>
            <m:r>
              <m:t xml:space="preserve">θ</m:t>
            </m:r>
          </m:sub>
        </m:sSub>
        <m:r>
          <m:t xml:space="preserve">.</m:t>
        </m:r>
      </m:oMath>
      <w:r>
        <w:rPr>
          <w:sz w:val="20"/>
        </w:rPr>
        <w:t xml:space="preserve">   (17)</w:t>
      </w:r>
    </w:p>
    <w:p>
      <w:r>
        <w:t>The benefit is strongest when there are many settings and few scalar functions. Numerous active state constraints may favour a full-space formulation or require additional adjoint solves. Factorisation fill, nonlinear convergence and scenario count can dominate curve evaluation. Parallel scenarios and reused symbolic sparsity can help, but neither implies linear scaling or global convergence of a nonconvex decomposition.</w:t>
      </w:r>
    </w:p>
    <w:p>
      <w:pPr>
        <w:pStyle w:val="Heading2"/>
      </w:pPr>
      <w:r>
        <w:t>7.3 Optimisation with repeated physical correction</w:t>
      </w:r>
    </w:p>
    <w:p>
      <w:r>
        <w:t>Start from representative normal and stressed scenarios. Solve the approximate or exact design problem, then freeze the candidate settings and correct the equilibrium with the implemented response. Screen a broader pool for voltage, reserve, thermal and dynamic failures. Add critical cases, tighten an approximation budget or introduce a locally justified restriction, then repeat. Reduce smoothing widths through continuation only as far as needed by the engineering error budget.</w:t>
      </w:r>
    </w:p>
    <w:p>
      <w:r>
        <w:t>A time-domain failure does not automatically yield a globally valid optimisation cut. Candidate restrictions based on sensitivities require trust regions and subsequent verification. If the exact correction fails, distinguish numerical failure, an inappropriate initial branch and physical loss of feasibility. Report these outcomes instead of silently discarding difficult scenarios. The final stopping criterion is acceptance under the declared validation protocol, together with numerical feasibility and stationarity, rather than solver termination alone.</w:t>
      </w:r>
    </w:p>
    <w:p>
      <w:pPr>
        <w:pStyle w:val="Heading1"/>
      </w:pPr>
      <w:r>
        <w:t>8 Analytical numerical illustrations</w:t>
      </w:r>
    </w:p>
    <w:p>
      <w:pPr>
        <w:pStyle w:val="Heading2"/>
      </w:pPr>
      <w:r>
        <w:t>8.1 Voltage dependent headroom</w:t>
      </w:r>
    </w:p>
    <w:p>
      <w:r>
        <w:t>Consider a balanced converter with p = 0.90 pu, imax = 1.10 pu and pre-event q = 0.20 pu on a 200 MVA base. At v = 1.00 pu, the ideal current circle permits qmax = sqrt(1.10² − 0.90²) = 0.632456 pu. The pre-event positive headroom is therefore 86.491 Mvar. At an imposed voltage of 0.85 pu, qmax = sqrt(0.935² − 0.90²) = 0.253426 pu, leaving only 10.685 Mvar above the initial output if active power is maintained.</w:t>
      </w:r>
    </w:p>
    <w:p>
      <w:r>
        <w:t>Thus only about 12.4% of the original positive headroom remains in this idealised voltage snapshot. This is a capability calculation, not a solved network response or a transient simulation. Reactive-current priority may change p and the result; collector and device constraints may reduce support further. The calculation demonstrates why a reserve quantity evaluated only at nominal voltage can be misleading.</w:t>
      </w:r>
    </w:p>
    <w:p>
      <w:pPr>
        <w:pStyle w:val="Heading2"/>
      </w:pPr>
      <w:r>
        <w:t>8.2 Smooth curve accuracy</w:t>
      </w:r>
    </w:p>
    <w:p>
      <w:r>
        <w:t>For a separate fixed-bound illustration, use Sb = 200 MVA, qmax = 0.50, qmin = −0.40, q0 = 0.05, k₊ = 25, k₋ = 20, b = 0.995 and c = 1.006. Equation (2) gives a = 0.977 and d = 1.0285. Stable softplus evaluation uses logaddexp(0,x/ε). Table 1 compares sampled maxima on 0.94 ≤ v ≤ 1.06 with spacing 5 × 10⁻⁶ pu against Proposition 1.</w:t>
      </w:r>
    </w:p>
    <w:p>
      <w:pPr>
        <w:pStyle w:val="Caption"/>
      </w:pPr>
      <w:r>
        <w:t>Table 1  Calculated curve error and analytical global bound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96"/>
        <w:gridCol w:w="3168"/>
        <w:gridCol w:w="3168"/>
      </w:tblGrid>
      <w:tr>
        <w:trPr>
          <w:cantSplit/>
          <w:tblHeader/>
        </w:trPr>
        <w:tc>
          <w:tcPr>
            <w:tcW w:type="dxa" w:w="3096"/>
            <w:vAlign w:val="center"/>
            <w:tcMar>
              <w:top w:w="90" w:type="dxa"/>
              <w:left w:w="90" w:type="dxa"/>
              <w:bottom w:w="90" w:type="dxa"/>
              <w:right w:w="90" w:type="dxa"/>
            </w:tcMar>
            <w:shd w:fill="E6E6E6"/>
          </w:tcPr>
          <w:p>
            <w:pPr>
              <w:keepNext/>
              <w:spacing w:after="40" w:line="245" w:lineRule="auto"/>
            </w:pPr>
            <w:r>
              <w:rPr>
                <w:b/>
                <w:sz w:val="19"/>
              </w:rPr>
              <w:t>Width in pu voltage</w:t>
            </w:r>
          </w:p>
        </w:tc>
        <w:tc>
          <w:tcPr>
            <w:tcW w:type="dxa" w:w="3168"/>
            <w:vAlign w:val="center"/>
            <w:tcMar>
              <w:top w:w="90" w:type="dxa"/>
              <w:left w:w="90" w:type="dxa"/>
              <w:bottom w:w="90" w:type="dxa"/>
              <w:right w:w="90" w:type="dxa"/>
            </w:tcMar>
            <w:shd w:fill="E6E6E6"/>
          </w:tcPr>
          <w:p>
            <w:pPr>
              <w:keepNext/>
              <w:spacing w:after="40" w:line="245" w:lineRule="auto"/>
            </w:pPr>
            <w:r>
              <w:rPr>
                <w:b/>
                <w:sz w:val="19"/>
              </w:rPr>
              <w:t>Sampled error in Mvar</w:t>
            </w:r>
          </w:p>
        </w:tc>
        <w:tc>
          <w:tcPr>
            <w:tcW w:type="dxa" w:w="3168"/>
            <w:vAlign w:val="center"/>
            <w:tcMar>
              <w:top w:w="90" w:type="dxa"/>
              <w:left w:w="90" w:type="dxa"/>
              <w:bottom w:w="90" w:type="dxa"/>
              <w:right w:w="90" w:type="dxa"/>
            </w:tcMar>
            <w:shd w:fill="E6E6E6"/>
          </w:tcPr>
          <w:p>
            <w:pPr>
              <w:keepNext/>
              <w:spacing w:after="40" w:line="245" w:lineRule="auto"/>
            </w:pPr>
            <w:r>
              <w:rPr>
                <w:b/>
                <w:sz w:val="19"/>
              </w:rPr>
              <w:t>Global bound in Mvar</w:t>
            </w:r>
          </w:p>
        </w:tc>
      </w:tr>
      <w:tr>
        <w:trPr>
          <w:cantSplit/>
        </w:trPr>
        <w:tc>
          <w:tcPr>
            <w:tcW w:type="dxa" w:w="3096"/>
            <w:vAlign w:val="center"/>
            <w:tcMar>
              <w:top w:w="90" w:type="dxa"/>
              <w:left w:w="90" w:type="dxa"/>
              <w:bottom w:w="90" w:type="dxa"/>
              <w:right w:w="90" w:type="dxa"/>
            </w:tcMar>
            <w:shd w:fill="FFFFFF"/>
          </w:tcPr>
          <w:p>
            <w:pPr>
              <w:keepNext/>
              <w:spacing w:after="40" w:line="245" w:lineRule="auto"/>
            </w:pPr>
            <w:r>
              <w:rPr>
                <w:sz w:val="19"/>
              </w:rPr>
              <w:t>0.0020</w:t>
            </w:r>
          </w:p>
        </w:tc>
        <w:tc>
          <w:tcPr>
            <w:tcW w:type="dxa" w:w="3168"/>
            <w:vAlign w:val="center"/>
            <w:tcMar>
              <w:top w:w="90" w:type="dxa"/>
              <w:left w:w="90" w:type="dxa"/>
              <w:bottom w:w="90" w:type="dxa"/>
              <w:right w:w="90" w:type="dxa"/>
            </w:tcMar>
            <w:shd w:fill="FFFFFF"/>
          </w:tcPr>
          <w:p>
            <w:pPr>
              <w:keepNext/>
              <w:spacing w:after="40" w:line="245" w:lineRule="auto"/>
            </w:pPr>
            <w:r>
              <w:rPr>
                <w:sz w:val="19"/>
              </w:rPr>
              <w:t>6.9302</w:t>
            </w:r>
          </w:p>
        </w:tc>
        <w:tc>
          <w:tcPr>
            <w:tcW w:type="dxa" w:w="3168"/>
            <w:vAlign w:val="center"/>
            <w:tcMar>
              <w:top w:w="90" w:type="dxa"/>
              <w:left w:w="90" w:type="dxa"/>
              <w:bottom w:w="90" w:type="dxa"/>
              <w:right w:w="90" w:type="dxa"/>
            </w:tcMar>
            <w:shd w:fill="FFFFFF"/>
          </w:tcPr>
          <w:p>
            <w:pPr>
              <w:keepNext/>
              <w:spacing w:after="40" w:line="245" w:lineRule="auto"/>
            </w:pPr>
            <w:r>
              <w:rPr>
                <w:sz w:val="19"/>
              </w:rPr>
              <w:t>6.9315</w:t>
            </w:r>
          </w:p>
        </w:tc>
      </w:tr>
      <w:tr>
        <w:trPr>
          <w:cantSplit/>
        </w:trPr>
        <w:tc>
          <w:tcPr>
            <w:tcW w:type="dxa" w:w="3096"/>
            <w:vAlign w:val="center"/>
            <w:tcMar>
              <w:top w:w="90" w:type="dxa"/>
              <w:left w:w="90" w:type="dxa"/>
              <w:bottom w:w="90" w:type="dxa"/>
              <w:right w:w="90" w:type="dxa"/>
            </w:tcMar>
            <w:shd w:fill="F5F5F5"/>
          </w:tcPr>
          <w:p>
            <w:pPr>
              <w:keepNext/>
              <w:spacing w:after="40" w:line="245" w:lineRule="auto"/>
            </w:pPr>
            <w:r>
              <w:rPr>
                <w:sz w:val="19"/>
              </w:rPr>
              <w:t>0.0005</w:t>
            </w:r>
          </w:p>
        </w:tc>
        <w:tc>
          <w:tcPr>
            <w:tcW w:type="dxa" w:w="3168"/>
            <w:vAlign w:val="center"/>
            <w:tcMar>
              <w:top w:w="90" w:type="dxa"/>
              <w:left w:w="90" w:type="dxa"/>
              <w:bottom w:w="90" w:type="dxa"/>
              <w:right w:w="90" w:type="dxa"/>
            </w:tcMar>
            <w:shd w:fill="F5F5F5"/>
          </w:tcPr>
          <w:p>
            <w:pPr>
              <w:keepNext/>
              <w:spacing w:after="40" w:line="245" w:lineRule="auto"/>
            </w:pPr>
            <w:r>
              <w:rPr>
                <w:sz w:val="19"/>
              </w:rPr>
              <w:t>1.7329</w:t>
            </w:r>
          </w:p>
        </w:tc>
        <w:tc>
          <w:tcPr>
            <w:tcW w:type="dxa" w:w="3168"/>
            <w:vAlign w:val="center"/>
            <w:tcMar>
              <w:top w:w="90" w:type="dxa"/>
              <w:left w:w="90" w:type="dxa"/>
              <w:bottom w:w="90" w:type="dxa"/>
              <w:right w:w="90" w:type="dxa"/>
            </w:tcMar>
            <w:shd w:fill="F5F5F5"/>
          </w:tcPr>
          <w:p>
            <w:pPr>
              <w:keepNext/>
              <w:spacing w:after="40" w:line="245" w:lineRule="auto"/>
            </w:pPr>
            <w:r>
              <w:rPr>
                <w:sz w:val="19"/>
              </w:rPr>
              <w:t>1.7329</w:t>
            </w:r>
          </w:p>
        </w:tc>
      </w:tr>
      <w:tr>
        <w:trPr>
          <w:cantSplit/>
        </w:trPr>
        <w:tc>
          <w:tcPr>
            <w:tcW w:type="dxa" w:w="3096"/>
            <w:vAlign w:val="center"/>
            <w:tcMar>
              <w:top w:w="90" w:type="dxa"/>
              <w:left w:w="90" w:type="dxa"/>
              <w:bottom w:w="90" w:type="dxa"/>
              <w:right w:w="90" w:type="dxa"/>
            </w:tcMar>
            <w:shd w:fill="FFFFFF"/>
          </w:tcPr>
          <w:p>
            <w:pPr>
              <w:keepNext w:val="0"/>
              <w:spacing w:after="40" w:line="245" w:lineRule="auto"/>
            </w:pPr>
            <w:r>
              <w:rPr>
                <w:sz w:val="19"/>
              </w:rPr>
              <w:t>0.0001</w:t>
            </w:r>
          </w:p>
        </w:tc>
        <w:tc>
          <w:tcPr>
            <w:tcW w:type="dxa" w:w="3168"/>
            <w:vAlign w:val="center"/>
            <w:tcMar>
              <w:top w:w="90" w:type="dxa"/>
              <w:left w:w="90" w:type="dxa"/>
              <w:bottom w:w="90" w:type="dxa"/>
              <w:right w:w="90" w:type="dxa"/>
            </w:tcMar>
            <w:shd w:fill="FFFFFF"/>
          </w:tcPr>
          <w:p>
            <w:pPr>
              <w:keepNext w:val="0"/>
              <w:spacing w:after="40" w:line="245" w:lineRule="auto"/>
            </w:pPr>
            <w:r>
              <w:rPr>
                <w:sz w:val="19"/>
              </w:rPr>
              <w:t>0.3466</w:t>
            </w:r>
          </w:p>
        </w:tc>
        <w:tc>
          <w:tcPr>
            <w:tcW w:type="dxa" w:w="3168"/>
            <w:vAlign w:val="center"/>
            <w:tcMar>
              <w:top w:w="90" w:type="dxa"/>
              <w:left w:w="90" w:type="dxa"/>
              <w:bottom w:w="90" w:type="dxa"/>
              <w:right w:w="90" w:type="dxa"/>
            </w:tcMar>
            <w:shd w:fill="FFFFFF"/>
          </w:tcPr>
          <w:p>
            <w:pPr>
              <w:keepNext w:val="0"/>
              <w:spacing w:after="40" w:line="245" w:lineRule="auto"/>
            </w:pPr>
            <w:r>
              <w:rPr>
                <w:sz w:val="19"/>
              </w:rPr>
              <w:t>0.3466</w:t>
            </w:r>
          </w:p>
        </w:tc>
      </w:tr>
    </w:tbl>
    <w:p>
      <w:pPr>
        <w:spacing w:after="0"/>
      </w:pPr>
    </w:p>
    <w:p>
      <w:r>
        <w:t>For this separated-transition example, the sampled error is close to the sharper monotonicity bound. A 1 Mvar value budget gives ε ≤ 0.00028854 pu. This condition concerns values of this fixed curve only; it does not certify gain accuracy near a breakpoint, reserve deliverability, or dynamic performance. The analytical bound, rather than the finite voltage grid, provides the global guarantee.</w:t>
      </w:r>
    </w:p>
    <w:p>
      <w:pPr>
        <w:pStyle w:val="Heading2"/>
      </w:pPr>
      <w:r>
        <w:t>8.3 Why a small residual is insufficient</w:t>
      </w:r>
    </w:p>
    <w:p>
      <w:r>
        <w:t>Under the contraction assumptions of Section 6.2, an exact-map residual of 0.001 pu gives an output-error bound of 0.002 pu when β = 0.5, but 0.020 pu when β = 0.95. On a 200 MVA base these correspond to 0.4 and 4.0 Mvar. These are conservative conditional bounds, not predictions of actual error. They show that an acceptance tolerance should depend on coupled-network conditioning as well as the approximation residual.</w:t>
      </w:r>
    </w:p>
    <w:p>
      <w:pPr>
        <w:pStyle w:val="Heading1"/>
      </w:pPr>
      <w:r>
        <w:t>9 Experimental programme and falsifiable hypotheses</w:t>
      </w:r>
    </w:p>
    <w:p>
      <w:pPr>
        <w:pStyle w:val="Heading2"/>
      </w:pPr>
      <w:r>
        <w:t>9.1 Hypotheses and reference methods</w:t>
      </w:r>
    </w:p>
    <w:p>
      <w:r>
        <w:t>Hypothesis H1 is that a controller-aware reserve measure improves prediction of unacceptable voltage recovery over raw or electrically weighted headroom. Test this on withheld disturbances and operating regimes. The hypothesis is unsupported if the added complexity provides no consistent predictive improvement or if the measure fails at the current-limit transitions it was designed to capture.</w:t>
      </w:r>
    </w:p>
    <w:p>
      <w:r>
        <w:t>Hypothesis H2 is that explicit approximation budgets and exact correction reduce false-safe decisions at comparable operating cost. A false-safe decision occurs when a candidate passes the optimisation or screening model but fails the implemented-model acceptance test. Compare this outcome across fixed-width softplus, continuation, compact smoothing and exact methods, with matched solver tolerances and physical constraints.</w:t>
      </w:r>
    </w:p>
    <w:p>
      <w:r>
        <w:t>Hypothesis H3 is that iterative scenario enrichment reduces total time to an accepted design relative to optimisation over the full declared scenario pool. This claim requires including model construction, equilibrium correction, screening, dynamic simulation and failed attempts. A fast nonlinear solve followed by excessive validation failures is not a successful computational result.</w:t>
      </w:r>
    </w:p>
    <w:p>
      <w:r>
        <w:t>Use coordinated conventional settings as the engineering baseline, an exact piecewise formulation as the fidelity reference, and an unconstrained reactive-dispatch OPF only as an optimistic comparator. Mixed-integer and emulated-dynamics approaches can provide additional algorithmic comparisons where compatible implementations are available. Multistart variability should be reported for all local methods.</w:t>
      </w:r>
    </w:p>
    <w:p>
      <w:pPr>
        <w:pStyle w:val="Heading2"/>
      </w:pPr>
      <w:r>
        <w:t>9.2 Deliberately adverse experiments</w:t>
      </w:r>
    </w:p>
    <w:p>
      <w:r>
        <w:t>Table 2 identifies experiments that should be attempted before a large demonstration. They isolate mechanisms that can otherwise be hidden by aggregate objective improvements.</w:t>
      </w:r>
    </w:p>
    <w:p>
      <w:pPr>
        <w:pStyle w:val="Caption"/>
      </w:pPr>
      <w:r>
        <w:t>Table 2  Mechanism focused experimental cases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36"/>
        <w:gridCol w:w="3096"/>
        <w:gridCol w:w="3600"/>
      </w:tblGrid>
      <w:tr>
        <w:trPr>
          <w:cantSplit/>
          <w:tblHeader/>
        </w:trPr>
        <w:tc>
          <w:tcPr>
            <w:tcW w:type="dxa" w:w="2736"/>
            <w:vAlign w:val="center"/>
            <w:tcMar>
              <w:top w:w="90" w:type="dxa"/>
              <w:left w:w="90" w:type="dxa"/>
              <w:bottom w:w="90" w:type="dxa"/>
              <w:right w:w="90" w:type="dxa"/>
            </w:tcMar>
            <w:shd w:fill="E6E6E6"/>
          </w:tcPr>
          <w:p>
            <w:pPr>
              <w:keepNext/>
              <w:spacing w:after="40" w:line="245" w:lineRule="auto"/>
            </w:pPr>
            <w:r>
              <w:rPr>
                <w:b/>
                <w:sz w:val="19"/>
              </w:rPr>
              <w:t>Experiment</w:t>
            </w:r>
          </w:p>
        </w:tc>
        <w:tc>
          <w:tcPr>
            <w:tcW w:type="dxa" w:w="3096"/>
            <w:vAlign w:val="center"/>
            <w:tcMar>
              <w:top w:w="90" w:type="dxa"/>
              <w:left w:w="90" w:type="dxa"/>
              <w:bottom w:w="90" w:type="dxa"/>
              <w:right w:w="90" w:type="dxa"/>
            </w:tcMar>
            <w:shd w:fill="E6E6E6"/>
          </w:tcPr>
          <w:p>
            <w:pPr>
              <w:keepNext/>
              <w:spacing w:after="40" w:line="245" w:lineRule="auto"/>
            </w:pPr>
            <w:r>
              <w:rPr>
                <w:b/>
                <w:sz w:val="19"/>
              </w:rPr>
              <w:t>Primary failure mechanism</w:t>
            </w:r>
          </w:p>
        </w:tc>
        <w:tc>
          <w:tcPr>
            <w:tcW w:type="dxa" w:w="3600"/>
            <w:vAlign w:val="center"/>
            <w:tcMar>
              <w:top w:w="90" w:type="dxa"/>
              <w:left w:w="90" w:type="dxa"/>
              <w:bottom w:w="90" w:type="dxa"/>
              <w:right w:w="90" w:type="dxa"/>
            </w:tcMar>
            <w:shd w:fill="E6E6E6"/>
          </w:tcPr>
          <w:p>
            <w:pPr>
              <w:keepNext/>
              <w:spacing w:after="40" w:line="245" w:lineRule="auto"/>
            </w:pPr>
            <w:r>
              <w:rPr>
                <w:b/>
                <w:sz w:val="19"/>
              </w:rPr>
              <w:t>Required observation</w:t>
            </w:r>
          </w:p>
        </w:tc>
      </w:tr>
      <w:tr>
        <w:trPr>
          <w:cantSplit/>
        </w:trPr>
        <w:tc>
          <w:tcPr>
            <w:tcW w:type="dxa" w:w="2736"/>
            <w:vAlign w:val="center"/>
            <w:tcMar>
              <w:top w:w="90" w:type="dxa"/>
              <w:left w:w="90" w:type="dxa"/>
              <w:bottom w:w="90" w:type="dxa"/>
              <w:right w:w="90" w:type="dxa"/>
            </w:tcMar>
            <w:shd w:fill="FFFFFF"/>
          </w:tcPr>
          <w:p>
            <w:pPr>
              <w:keepNext/>
              <w:spacing w:after="40" w:line="245" w:lineRule="auto"/>
            </w:pPr>
            <w:r>
              <w:rPr>
                <w:sz w:val="19"/>
              </w:rPr>
              <w:t>Equal headroom at different locations</w:t>
            </w:r>
          </w:p>
        </w:tc>
        <w:tc>
          <w:tcPr>
            <w:tcW w:type="dxa" w:w="3096"/>
            <w:vAlign w:val="center"/>
            <w:tcMar>
              <w:top w:w="90" w:type="dxa"/>
              <w:left w:w="90" w:type="dxa"/>
              <w:bottom w:w="90" w:type="dxa"/>
              <w:right w:w="90" w:type="dxa"/>
            </w:tcMar>
            <w:shd w:fill="FFFFFF"/>
          </w:tcPr>
          <w:p>
            <w:pPr>
              <w:keepNext/>
              <w:spacing w:after="40" w:line="245" w:lineRule="auto"/>
            </w:pPr>
            <w:r>
              <w:rPr>
                <w:sz w:val="19"/>
              </w:rPr>
              <w:t>Unavailable network delivery</w:t>
            </w:r>
          </w:p>
        </w:tc>
        <w:tc>
          <w:tcPr>
            <w:tcW w:type="dxa" w:w="3600"/>
            <w:vAlign w:val="center"/>
            <w:tcMar>
              <w:top w:w="90" w:type="dxa"/>
              <w:left w:w="90" w:type="dxa"/>
              <w:bottom w:w="90" w:type="dxa"/>
              <w:right w:w="90" w:type="dxa"/>
            </w:tcMar>
            <w:shd w:fill="FFFFFF"/>
          </w:tcPr>
          <w:p>
            <w:pPr>
              <w:keepNext/>
              <w:spacing w:after="40" w:line="245" w:lineRule="auto"/>
            </w:pPr>
            <w:r>
              <w:rPr>
                <w:sz w:val="19"/>
              </w:rPr>
              <w:t>Voltage recovery and critical-bus support</w:t>
            </w:r>
          </w:p>
        </w:tc>
      </w:tr>
      <w:tr>
        <w:trPr>
          <w:cantSplit/>
        </w:trPr>
        <w:tc>
          <w:tcPr>
            <w:tcW w:type="dxa" w:w="2736"/>
            <w:vAlign w:val="center"/>
            <w:tcMar>
              <w:top w:w="90" w:type="dxa"/>
              <w:left w:w="90" w:type="dxa"/>
              <w:bottom w:w="90" w:type="dxa"/>
              <w:right w:w="90" w:type="dxa"/>
            </w:tcMar>
            <w:shd w:fill="F5F5F5"/>
          </w:tcPr>
          <w:p>
            <w:pPr>
              <w:keepNext/>
              <w:spacing w:after="40" w:line="245" w:lineRule="auto"/>
            </w:pPr>
            <w:r>
              <w:rPr>
                <w:sz w:val="19"/>
              </w:rPr>
              <w:t>High active output and depressed voltage</w:t>
            </w:r>
          </w:p>
        </w:tc>
        <w:tc>
          <w:tcPr>
            <w:tcW w:type="dxa" w:w="3096"/>
            <w:vAlign w:val="center"/>
            <w:tcMar>
              <w:top w:w="90" w:type="dxa"/>
              <w:left w:w="90" w:type="dxa"/>
              <w:bottom w:w="90" w:type="dxa"/>
              <w:right w:w="90" w:type="dxa"/>
            </w:tcMar>
            <w:shd w:fill="F5F5F5"/>
          </w:tcPr>
          <w:p>
            <w:pPr>
              <w:keepNext/>
              <w:spacing w:after="40" w:line="245" w:lineRule="auto"/>
            </w:pPr>
            <w:r>
              <w:rPr>
                <w:sz w:val="19"/>
              </w:rPr>
              <w:t>Shrinking reactive capability</w:t>
            </w:r>
          </w:p>
        </w:tc>
        <w:tc>
          <w:tcPr>
            <w:tcW w:type="dxa" w:w="3600"/>
            <w:vAlign w:val="center"/>
            <w:tcMar>
              <w:top w:w="90" w:type="dxa"/>
              <w:left w:w="90" w:type="dxa"/>
              <w:bottom w:w="90" w:type="dxa"/>
              <w:right w:w="90" w:type="dxa"/>
            </w:tcMar>
            <w:shd w:fill="F5F5F5"/>
          </w:tcPr>
          <w:p>
            <w:pPr>
              <w:keepNext/>
              <w:spacing w:after="40" w:line="245" w:lineRule="auto"/>
            </w:pPr>
            <w:r>
              <w:rPr>
                <w:sz w:val="19"/>
              </w:rPr>
              <w:t>Actual p and q and current-priority state</w:t>
            </w:r>
          </w:p>
        </w:tc>
      </w:tr>
      <w:tr>
        <w:trPr>
          <w:cantSplit/>
        </w:trPr>
        <w:tc>
          <w:tcPr>
            <w:tcW w:type="dxa" w:w="2736"/>
            <w:vAlign w:val="center"/>
            <w:tcMar>
              <w:top w:w="90" w:type="dxa"/>
              <w:left w:w="90" w:type="dxa"/>
              <w:bottom w:w="90" w:type="dxa"/>
              <w:right w:w="90" w:type="dxa"/>
            </w:tcMar>
            <w:shd w:fill="FFFFFF"/>
          </w:tcPr>
          <w:p>
            <w:pPr>
              <w:keepNext/>
              <w:spacing w:after="40" w:line="245" w:lineRule="auto"/>
            </w:pPr>
            <w:r>
              <w:rPr>
                <w:sz w:val="19"/>
              </w:rPr>
              <w:t>Operation near a deadband edge</w:t>
            </w:r>
          </w:p>
        </w:tc>
        <w:tc>
          <w:tcPr>
            <w:tcW w:type="dxa" w:w="3096"/>
            <w:vAlign w:val="center"/>
            <w:tcMar>
              <w:top w:w="90" w:type="dxa"/>
              <w:left w:w="90" w:type="dxa"/>
              <w:bottom w:w="90" w:type="dxa"/>
              <w:right w:w="90" w:type="dxa"/>
            </w:tcMar>
            <w:shd w:fill="FFFFFF"/>
          </w:tcPr>
          <w:p>
            <w:pPr>
              <w:keepNext/>
              <w:spacing w:after="40" w:line="245" w:lineRule="auto"/>
            </w:pPr>
            <w:r>
              <w:rPr>
                <w:sz w:val="19"/>
              </w:rPr>
              <w:t>Artificial support from smoothing</w:t>
            </w:r>
          </w:p>
        </w:tc>
        <w:tc>
          <w:tcPr>
            <w:tcW w:type="dxa" w:w="3600"/>
            <w:vAlign w:val="center"/>
            <w:tcMar>
              <w:top w:w="90" w:type="dxa"/>
              <w:left w:w="90" w:type="dxa"/>
              <w:bottom w:w="90" w:type="dxa"/>
              <w:right w:w="90" w:type="dxa"/>
            </w:tcMar>
            <w:shd w:fill="FFFFFF"/>
          </w:tcPr>
          <w:p>
            <w:pPr>
              <w:keepNext/>
              <w:spacing w:after="40" w:line="245" w:lineRule="auto"/>
            </w:pPr>
            <w:r>
              <w:rPr>
                <w:sz w:val="19"/>
              </w:rPr>
              <w:t>Exact equilibrium and one-sided regimes</w:t>
            </w:r>
          </w:p>
        </w:tc>
      </w:tr>
      <w:tr>
        <w:trPr>
          <w:cantSplit/>
        </w:trPr>
        <w:tc>
          <w:tcPr>
            <w:tcW w:type="dxa" w:w="2736"/>
            <w:vAlign w:val="center"/>
            <w:tcMar>
              <w:top w:w="90" w:type="dxa"/>
              <w:left w:w="90" w:type="dxa"/>
              <w:bottom w:w="90" w:type="dxa"/>
              <w:right w:w="90" w:type="dxa"/>
            </w:tcMar>
            <w:shd w:fill="F5F5F5"/>
          </w:tcPr>
          <w:p>
            <w:pPr>
              <w:keepNext/>
              <w:spacing w:after="40" w:line="245" w:lineRule="auto"/>
            </w:pPr>
            <w:r>
              <w:rPr>
                <w:sz w:val="19"/>
              </w:rPr>
              <w:t>Operation near a reactive limit</w:t>
            </w:r>
          </w:p>
        </w:tc>
        <w:tc>
          <w:tcPr>
            <w:tcW w:type="dxa" w:w="3096"/>
            <w:vAlign w:val="center"/>
            <w:tcMar>
              <w:top w:w="90" w:type="dxa"/>
              <w:left w:w="90" w:type="dxa"/>
              <w:bottom w:w="90" w:type="dxa"/>
              <w:right w:w="90" w:type="dxa"/>
            </w:tcMar>
            <w:shd w:fill="F5F5F5"/>
          </w:tcPr>
          <w:p>
            <w:pPr>
              <w:keepNext/>
              <w:spacing w:after="40" w:line="245" w:lineRule="auto"/>
            </w:pPr>
            <w:r>
              <w:rPr>
                <w:sz w:val="19"/>
              </w:rPr>
              <w:t>Incorrect reserve or local gain</w:t>
            </w:r>
          </w:p>
        </w:tc>
        <w:tc>
          <w:tcPr>
            <w:tcW w:type="dxa" w:w="3600"/>
            <w:vAlign w:val="center"/>
            <w:tcMar>
              <w:top w:w="90" w:type="dxa"/>
              <w:left w:w="90" w:type="dxa"/>
              <w:bottom w:w="90" w:type="dxa"/>
              <w:right w:w="90" w:type="dxa"/>
            </w:tcMar>
            <w:shd w:fill="F5F5F5"/>
          </w:tcPr>
          <w:p>
            <w:pPr>
              <w:keepNext/>
              <w:spacing w:after="40" w:line="245" w:lineRule="auto"/>
            </w:pPr>
            <w:r>
              <w:rPr>
                <w:sz w:val="19"/>
              </w:rPr>
              <w:t>Limiter entry and release</w:t>
            </w:r>
          </w:p>
        </w:tc>
      </w:tr>
      <w:tr>
        <w:trPr>
          <w:cantSplit/>
        </w:trPr>
        <w:tc>
          <w:tcPr>
            <w:tcW w:type="dxa" w:w="2736"/>
            <w:vAlign w:val="center"/>
            <w:tcMar>
              <w:top w:w="90" w:type="dxa"/>
              <w:left w:w="90" w:type="dxa"/>
              <w:bottom w:w="90" w:type="dxa"/>
              <w:right w:w="90" w:type="dxa"/>
            </w:tcMar>
            <w:shd w:fill="FFFFFF"/>
          </w:tcPr>
          <w:p>
            <w:pPr>
              <w:keepNext/>
              <w:spacing w:after="40" w:line="245" w:lineRule="auto"/>
            </w:pPr>
            <w:r>
              <w:rPr>
                <w:sz w:val="19"/>
              </w:rPr>
              <w:t>Multiple plants with bias and delay</w:t>
            </w:r>
          </w:p>
        </w:tc>
        <w:tc>
          <w:tcPr>
            <w:tcW w:type="dxa" w:w="3096"/>
            <w:vAlign w:val="center"/>
            <w:tcMar>
              <w:top w:w="90" w:type="dxa"/>
              <w:left w:w="90" w:type="dxa"/>
              <w:bottom w:w="90" w:type="dxa"/>
              <w:right w:w="90" w:type="dxa"/>
            </w:tcMar>
            <w:shd w:fill="FFFFFF"/>
          </w:tcPr>
          <w:p>
            <w:pPr>
              <w:keepNext/>
              <w:spacing w:after="40" w:line="245" w:lineRule="auto"/>
            </w:pPr>
            <w:r>
              <w:rPr>
                <w:sz w:val="19"/>
              </w:rPr>
              <w:t>Circulation and controller interaction</w:t>
            </w:r>
          </w:p>
        </w:tc>
        <w:tc>
          <w:tcPr>
            <w:tcW w:type="dxa" w:w="3600"/>
            <w:vAlign w:val="center"/>
            <w:tcMar>
              <w:top w:w="90" w:type="dxa"/>
              <w:left w:w="90" w:type="dxa"/>
              <w:bottom w:w="90" w:type="dxa"/>
              <w:right w:w="90" w:type="dxa"/>
            </w:tcMar>
            <w:shd w:fill="FFFFFF"/>
          </w:tcPr>
          <w:p>
            <w:pPr>
              <w:keepNext/>
              <w:spacing w:after="40" w:line="245" w:lineRule="auto"/>
            </w:pPr>
            <w:r>
              <w:rPr>
                <w:sz w:val="19"/>
              </w:rPr>
              <w:t>Relevant modes and measured response</w:t>
            </w:r>
          </w:p>
        </w:tc>
      </w:tr>
      <w:tr>
        <w:trPr>
          <w:cantSplit/>
        </w:trPr>
        <w:tc>
          <w:tcPr>
            <w:tcW w:type="dxa" w:w="2736"/>
            <w:vAlign w:val="center"/>
            <w:tcMar>
              <w:top w:w="90" w:type="dxa"/>
              <w:left w:w="90" w:type="dxa"/>
              <w:bottom w:w="90" w:type="dxa"/>
              <w:right w:w="90" w:type="dxa"/>
            </w:tcMar>
            <w:shd w:fill="F5F5F5"/>
          </w:tcPr>
          <w:p>
            <w:pPr>
              <w:keepNext w:val="0"/>
              <w:spacing w:after="40" w:line="245" w:lineRule="auto"/>
            </w:pPr>
            <w:r>
              <w:rPr>
                <w:sz w:val="19"/>
              </w:rPr>
              <w:t>Fault clearance and slow control action</w:t>
            </w:r>
          </w:p>
        </w:tc>
        <w:tc>
          <w:tcPr>
            <w:tcW w:type="dxa" w:w="3096"/>
            <w:vAlign w:val="center"/>
            <w:tcMar>
              <w:top w:w="90" w:type="dxa"/>
              <w:left w:w="90" w:type="dxa"/>
              <w:bottom w:w="90" w:type="dxa"/>
              <w:right w:w="90" w:type="dxa"/>
            </w:tcMar>
            <w:shd w:fill="F5F5F5"/>
          </w:tcPr>
          <w:p>
            <w:pPr>
              <w:keepNext w:val="0"/>
              <w:spacing w:after="40" w:line="245" w:lineRule="auto"/>
            </w:pPr>
            <w:r>
              <w:rPr>
                <w:sz w:val="19"/>
              </w:rPr>
              <w:t>Overvoltage or poor replenishment</w:t>
            </w:r>
          </w:p>
        </w:tc>
        <w:tc>
          <w:tcPr>
            <w:tcW w:type="dxa" w:w="3600"/>
            <w:vAlign w:val="center"/>
            <w:tcMar>
              <w:top w:w="90" w:type="dxa"/>
              <w:left w:w="90" w:type="dxa"/>
              <w:bottom w:w="90" w:type="dxa"/>
              <w:right w:w="90" w:type="dxa"/>
            </w:tcMar>
            <w:shd w:fill="F5F5F5"/>
          </w:tcPr>
          <w:p>
            <w:pPr>
              <w:keepNext w:val="0"/>
              <w:spacing w:after="40" w:line="245" w:lineRule="auto"/>
            </w:pPr>
            <w:r>
              <w:rPr>
                <w:sz w:val="19"/>
              </w:rPr>
              <w:t>Absorption, switching and recovery</w:t>
            </w:r>
          </w:p>
        </w:tc>
      </w:tr>
    </w:tbl>
    <w:p>
      <w:pPr>
        <w:spacing w:after="0"/>
      </w:pPr>
    </w:p>
    <w:p>
      <w:r>
        <w:t>Vary load composition, synchronous commitment, converter dispatch, network impedance, topology, delay, measurement bias and plant availability. Include stronger-network interaction cases as well as weak-network cases. Disturbance tests should cover both voltage depression and subsequent recovery; preserving injection headroom alone can conceal insufficient absorption or an adverse post-fault transition.</w:t>
      </w:r>
    </w:p>
    <w:p>
      <w:pPr>
        <w:pStyle w:val="Heading2"/>
      </w:pPr>
      <w:r>
        <w:t>9.3 Benchmark hierarchy and data separation</w:t>
      </w:r>
    </w:p>
    <w:p>
      <w:r>
        <w:t>Use a small interpretable dynamic network to diagnose mechanisms, a medium transmission model to establish coordinated benefits, and large AC cases to assess numerical scaling. PGLib-OPF provides a reproducible basis for AC optimisation comparisons [8], but dynamic controller and load data must be added and justified independently. Synthetic dynamic extensions should be labelled as such and checked for consistent initialization.</w:t>
      </w:r>
    </w:p>
    <w:p>
      <w:r>
        <w:t>Separate design scenarios, validation scenarios used to refine the method, and a final locked evaluation set. Hold out whole operating regimes or topologies where possible, since nearby random samples can overstate generalisation. Safety screening should be audited through both targeted difficult cases and a randomly selected subset of screened-safe cases. Statistical confidence statements require a stated sampling population and dependence assumptions; zero failures in an enumerated pool is evidence about that pool only.</w:t>
      </w:r>
    </w:p>
    <w:p>
      <w:pPr>
        <w:pStyle w:val="Heading1"/>
      </w:pPr>
      <w:r>
        <w:t>10 Dynamic validation and reproducibility</w:t>
      </w:r>
    </w:p>
    <w:p>
      <w:r>
        <w:t>Validation begins with an AC equilibrium consistent with the actual droop and capability implementation. It proceeds through continuation and limiter checks, selected eigenvalue analysis, RMS simulations and targeted EMT studies. Detailed studies should retain the plant and surrounding controllers responsible for the suspected interaction. A cheap model may screen a case only within a domain where its false-safe behaviour has been assessed.</w:t>
      </w:r>
    </w:p>
    <w:p>
      <w:r>
        <w:t>Relevant outcomes include voltage minima and maxima, time outside specified envelopes, settling, oscillation decay, current-limit duration, blocking, repeated switching, active-power recovery and reserve replenishment. Unbalanced and waveform-sensitive cases additionally require appropriate phase and sequence measures. A single damping ratio does not establish fault recovery, and a transient distortion statistic does not by itself establish sustained waveform quality.</w:t>
      </w:r>
    </w:p>
    <w:p>
      <w:r>
        <w:t>For a National Electricity Market application, model development and acceptance should be aligned with the applicable AEMO Power System Model Guidelines [9] and the agreed project performance standards. The research should document the exact rule and model versions used rather than transfer illustrative limits from another jurisdiction or from distribution volt/var practice. NERC guidance provides complementary context on coordinated inverter-based voltage control [10].</w:t>
      </w:r>
    </w:p>
    <w:p>
      <w:r>
        <w:t>The reproducibility package should contain network and controller versions, parameter bases, capability envelopes, scenario generation rules, initial conditions, random seeds, numerical tolerances, solver and linear-solver versions, and hardware information. Report cold and warm timings, compilation overhead, peak memory, median and tail runtimes, nonconvergence, exact-model violations and objective variation. Keep field-model identification uncertainty separate from numerical approximation error so that an unnecessarily narrow smoothing width is not mistaken for greater engineering confidence.</w:t>
      </w:r>
    </w:p>
    <w:p>
      <w:pPr>
        <w:pStyle w:val="Heading1"/>
      </w:pPr>
      <w:r>
        <w:t>11 Discussion and research priorities</w:t>
      </w:r>
    </w:p>
    <w:p>
      <w:r>
        <w:t>The main engineering trade-off is not resolved by stronger droop alone. Stronger response can reduce steady-state error while accelerating capability use or changing dynamic interaction. Wider deadbands can retain normal-operation headroom while delaying response. Slower supervisory actions can release fast capability but introduce their own switching and coordination constraints. A successful design must expose these trade-offs explicitly, including cases where changed dispatch, additional equipment or a revised control architecture is required.</w:t>
      </w:r>
    </w:p>
    <w:p>
      <w:r>
        <w:t>The first priority is a reproducible set of counterexamples demonstrating where conventional reserve measures or smooth approximations misclassify security. The second is a coordinated design method that resolves those failures on a documented dynamic transmission model. The third is scaling the accepted-design workflow without losing the failure mechanisms identified in the smaller studies. This order avoids a large benchmark that demonstrates speed while leaving its physical interpretation uncertain.</w:t>
      </w:r>
    </w:p>
    <w:p>
      <w:r>
        <w:t>A focused publication can initially address fixed outer-loop volt/var settings for a defined plant-controller family. A second study can develop stronger nonlinear fidelity certificates, adaptive approximation allocation or causal gain scheduling. Extending immediately to every synchronous, grid-following, grid-forming and FACTS implementation would make it difficult to distinguish a broadly useful framework from a validated result. The narrow initial scope should be chosen around model availability and the transmission failure mechanism of greatest practical importance.</w:t>
      </w:r>
    </w:p>
    <w:p>
      <w:pPr>
        <w:pStyle w:val="Heading1"/>
      </w:pPr>
      <w:r>
        <w:t>12 Conclusions</w:t>
      </w:r>
    </w:p>
    <w:p>
      <w:r>
        <w:t>A defensible transmission volt/var design must connect three levels of evidence: available capability, support actually delivered by the controller, and the resulting system security. Fixed-curve shape preservation addresses only part of that chain. Voltage-dependent capability, active-power priorities, network coupling and dynamic modes must remain visible in both optimisation and validation.</w:t>
      </w:r>
    </w:p>
    <w:p>
      <w:r>
        <w:t>The analytical developments show how monotonicity tightens a common-width softplus value bound, how an exact residual can certify equilibrium proximity under a contraction assumption, and how a separate Lyapunov perturbation condition can transfer local linear stability within one regime. These results provide restricted but explicit foundations for approximation budgets. Their limitations identify the necessary exact correction and dynamic tests rather than justify a universal certificate.</w:t>
      </w:r>
    </w:p>
    <w:p>
      <w:r>
        <w:t>The proposed research programme evaluates methods by the quality and total computational cost of designs that pass an independently specified physical acceptance test. Its empirical success depends on demonstrating improved reserve assessment, fewer false-safe decisions and scalable validation on the intended transmission models. Those demonstrations, together with transparent negative results, would turn a useful mathematical framework into a substantive research contribution.</w:t>
      </w:r>
    </w:p>
    <w:p>
      <w:pPr>
        <w:pStyle w:val="Heading1"/>
      </w:pPr>
      <w:r>
        <w:t>References</w:t>
      </w:r>
    </w:p>
    <w:p>
      <w:pPr>
        <w:keepNext/>
        <w:spacing w:after="60"/>
      </w:pPr>
      <w:r>
        <w:t>[1] North American Electric Reliability Corporation. Reactive Power Planning Guideline. December 2016.</w:t>
      </w:r>
    </w:p>
    <w:p>
      <w:pPr>
        <w:spacing w:after="180"/>
      </w:pPr>
      <w:hyperlink r:id="rId10">
        <w:r>
          <w:rPr>
            <w:sz w:val="18"/>
          </w:rPr>
          <w:t>https://www.nerc.com/globalassets/who-we-are/standing-committees/rstc/sams/reliability-guideline---reactive-power-planning.pdf</w:t>
        </w:r>
      </w:hyperlink>
    </w:p>
    <w:p>
      <w:pPr>
        <w:keepNext/>
        <w:spacing w:after="60"/>
      </w:pPr>
      <w:r>
        <w:t>[2] I. Murzakhanov, S. Gupta, S. Chatzivasileiadis and V. Kekatos. Optimal Design of Volt/VAR Control Rules for Inverter-Interfaced Distributed Energy Resources. arXiv:2210.12805, revised 2023.</w:t>
      </w:r>
    </w:p>
    <w:p>
      <w:pPr>
        <w:spacing w:after="180"/>
      </w:pPr>
      <w:hyperlink r:id="rId11">
        <w:r>
          <w:rPr>
            <w:sz w:val="18"/>
          </w:rPr>
          <w:t>https://arxiv.org/abs/2210.12805</w:t>
        </w:r>
      </w:hyperlink>
    </w:p>
    <w:p>
      <w:pPr>
        <w:keepNext/>
        <w:spacing w:after="60"/>
      </w:pPr>
      <w:r>
        <w:t>[3] S. Gupta, V. Kekatos and S. Chatzivasileiadis. Optimal Design of Volt/VAR Control Rules of Inverters using Deep Learning. arXiv:2211.09557, revised 2024; accepted in IEEE Transactions on Smart Grid.</w:t>
      </w:r>
    </w:p>
    <w:p>
      <w:pPr>
        <w:spacing w:after="180"/>
      </w:pPr>
      <w:hyperlink r:id="rId12">
        <w:r>
          <w:rPr>
            <w:sz w:val="18"/>
          </w:rPr>
          <w:t>https://arxiv.org/abs/2211.09557</w:t>
        </w:r>
      </w:hyperlink>
    </w:p>
    <w:p>
      <w:pPr>
        <w:keepNext/>
        <w:spacing w:after="60"/>
      </w:pPr>
      <w:r>
        <w:t>[4] G. Mohy-ud-din, R. Heidari, F. Geth, H. Ergun and S. M. Muslem Uddin. AC–DC Power Systems Optimization with Droop Control Smooth Approximation. 2024 IEEE PES Australasian Universities Power Engineering Conference; arXiv:2409.18376.</w:t>
      </w:r>
    </w:p>
    <w:p>
      <w:pPr>
        <w:spacing w:after="180"/>
      </w:pPr>
      <w:hyperlink r:id="rId13">
        <w:r>
          <w:rPr>
            <w:sz w:val="18"/>
          </w:rPr>
          <w:t>https://arxiv.org/abs/2409.18376</w:t>
        </w:r>
      </w:hyperlink>
    </w:p>
    <w:p>
      <w:pPr>
        <w:keepNext/>
        <w:spacing w:after="60"/>
      </w:pPr>
      <w:r>
        <w:t>[5] E.-S. E. El-Araby and N. Yorino. Reactive power reserve management tool for voltage stability enhancement. IET Generation, Transmission &amp; Distribution, 12(8), 1879–1888, 2018. doi:10.1049/iet-gtd.2017.1356.</w:t>
      </w:r>
    </w:p>
    <w:p>
      <w:pPr>
        <w:spacing w:after="180"/>
      </w:pPr>
      <w:hyperlink r:id="rId14">
        <w:r>
          <w:rPr>
            <w:sz w:val="18"/>
          </w:rPr>
          <w:t>https://doi.org/10.1049/iet-gtd.2017.1356</w:t>
        </w:r>
      </w:hyperlink>
    </w:p>
    <w:p>
      <w:pPr>
        <w:keepNext/>
        <w:spacing w:after="60"/>
      </w:pPr>
      <w:r>
        <w:t>[6] Z. Huang, K. Wang, Y. Wang, J. Han and J. Liang. Small-signal stability constrained optimal power flow considering eigenvalue distribution. Journal of Modern Power Systems and Clean Energy, 12(4), 1052–1062, 2024. doi:10.35833/MPCE.2023.000135.</w:t>
      </w:r>
    </w:p>
    <w:p>
      <w:pPr>
        <w:spacing w:after="180"/>
      </w:pPr>
      <w:hyperlink r:id="rId15">
        <w:r>
          <w:rPr>
            <w:sz w:val="18"/>
          </w:rPr>
          <w:t>https://doi.org/10.35833/MPCE.2023.000135</w:t>
        </w:r>
      </w:hyperlink>
    </w:p>
    <w:p>
      <w:pPr>
        <w:keepNext/>
        <w:spacing w:after="60"/>
      </w:pPr>
      <w:r>
        <w:t>[7] S. Tong, M. A. Boateng, M. Tanneau and P. Van Hentenryck. Volt/VAR Optimization in Transmission Networks with Discrete-Control Devices. arXiv:2601.22080, 2026.</w:t>
      </w:r>
    </w:p>
    <w:p>
      <w:pPr>
        <w:spacing w:after="180"/>
      </w:pPr>
      <w:hyperlink r:id="rId16">
        <w:r>
          <w:rPr>
            <w:sz w:val="18"/>
          </w:rPr>
          <w:t>https://arxiv.org/abs/2601.22080</w:t>
        </w:r>
      </w:hyperlink>
    </w:p>
    <w:p>
      <w:pPr>
        <w:keepNext/>
        <w:spacing w:after="60"/>
      </w:pPr>
      <w:r>
        <w:t>[8] IEEE PES Task Force on Benchmarks for Validation of Emerging Power System Algorithms. Power Grid Library for Optimal Power Flow. Benchmark repository and documentation.</w:t>
      </w:r>
    </w:p>
    <w:p>
      <w:pPr>
        <w:spacing w:after="180"/>
      </w:pPr>
      <w:hyperlink r:id="rId17">
        <w:r>
          <w:rPr>
            <w:sz w:val="18"/>
          </w:rPr>
          <w:t>https://github.com/power-grid-lib/pglib-opf</w:t>
        </w:r>
      </w:hyperlink>
    </w:p>
    <w:p>
      <w:pPr>
        <w:keepNext/>
        <w:spacing w:after="60"/>
      </w:pPr>
      <w:r>
        <w:t>[9] Australian Energy Market Operator. Power System Model Guidelines. Version 3.0, effective 25 September 2025.</w:t>
      </w:r>
    </w:p>
    <w:p>
      <w:pPr>
        <w:spacing w:after="180"/>
      </w:pPr>
      <w:hyperlink r:id="rId18">
        <w:r>
          <w:rPr>
            <w:sz w:val="18"/>
          </w:rPr>
          <w:t>https://www.aemo.com.au/-/media/files/electricity/nem/security_and_reliability/system-security-market-frameworks-review/2025/power-system-model-guidelines-v30.pdf</w:t>
        </w:r>
      </w:hyperlink>
    </w:p>
    <w:p>
      <w:pPr>
        <w:keepNext/>
        <w:spacing w:after="60"/>
      </w:pPr>
      <w:r>
        <w:t>[10] North American Electric Reliability Corporation. Inverter-Based Resource Performance Guideline. September 2018.</w:t>
      </w:r>
    </w:p>
    <w:p>
      <w:pPr>
        <w:spacing w:after="180"/>
      </w:pPr>
      <w:hyperlink r:id="rId19">
        <w:r>
          <w:rPr>
            <w:sz w:val="18"/>
          </w:rPr>
          <w:t>https://www.nerc.com/comm/RSTC_Reliability_Guidelines/Inverter-Based_Resource_Performance_Guideline.pdf</w:t>
        </w:r>
      </w:hyperlink>
    </w:p>
    <w:p>
      <w:r>
        <w:rPr>
          <w:sz w:val="18"/>
        </w:rPr>
        <w:t>Online sources checked 14 September 2026. Bibliographic versions identify the sources used; subsequent revisions may differ.</w:t>
      </w:r>
    </w:p>
    <w:sectPr w:rsidR="00FC693F" w:rsidRPr="0006063C" w:rsidSect="00034616">
      <w:footerReference w:type="default" r:id="rId9"/>
      <w:pgSz w:w="11909" w:h="16834"/>
      <w:pgMar w:top="1123" w:right="1195" w:bottom="1080" w:left="1195" w:header="720" w:footer="49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Volt var research framework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after="120"/>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cstheme="majorBidi" w:ascii="Times New Roman" w:hAnsi="Times New Roman"/>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cstheme="majorBidi" w:ascii="Times New Roman" w:hAnsi="Times New Roman"/>
      <w:b/>
      <w:color w:val="000000"/>
      <w:spacing w:val="5"/>
      <w:kern w:val="28"/>
      <w:sz w:val="44"/>
      <w:szCs w:val="52"/>
    </w:rPr>
  </w:style>
  <w:style w:type="character" w:customStyle="1" w:styleId="TitleChar">
    <w:name w:val="Title Char"/>
    <w:basedOn w:val="DefaultParagraphFont"/>
    <w:link w:val="Title"/>
    <w:uiPriority w:val="10"/>
    <w:rsid w:val="00FC693F"/>
    <w:rPr>
      <w:rFonts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cstheme="majorBidi" w:ascii="Times New Roman" w:hAnsi="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line="240" w:lineRule="auto"/>
    </w:pPr>
    <w:rPr>
      <w:rFonts w:ascii="Times New Roman" w:hAnsi="Times New Roman"/>
      <w:b/>
      <w:bCs/>
      <w:i/>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cstheme="majorBidi"/>
        <w:b/>
        <w:bCs/>
      </w:rPr>
    </w:tblStylePr>
    <w:tblStylePr w:type="lastCol">
      <w:rPr>
        <w:rFonts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cstheme="majorBidi"/>
        <w:b/>
        <w:bCs/>
      </w:rPr>
    </w:tblStylePr>
    <w:tblStylePr w:type="lastCol">
      <w:rPr>
        <w:rFonts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cstheme="majorBidi"/>
        <w:b/>
        <w:bCs/>
      </w:rPr>
    </w:tblStylePr>
    <w:tblStylePr w:type="lastCol">
      <w:rPr>
        <w:rFonts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cstheme="majorBidi"/>
        <w:b/>
        <w:bCs/>
      </w:rPr>
    </w:tblStylePr>
    <w:tblStylePr w:type="lastCol">
      <w:rPr>
        <w:rFonts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cstheme="majorBidi"/>
        <w:b/>
        <w:bCs/>
      </w:rPr>
    </w:tblStylePr>
    <w:tblStylePr w:type="lastCol">
      <w:rPr>
        <w:rFonts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cstheme="majorBidi"/>
        <w:b/>
        <w:bCs/>
      </w:rPr>
    </w:tblStylePr>
    <w:tblStylePr w:type="lastCol">
      <w:rPr>
        <w:rFonts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cstheme="majorBidi"/>
        <w:b/>
        <w:bCs/>
      </w:rPr>
    </w:tblStylePr>
    <w:tblStylePr w:type="lastCol">
      <w:rPr>
        <w:rFonts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nerc.com/globalassets/who-we-are/standing-committees/rstc/sams/reliability-guideline---reactive-power-planning.pdf" TargetMode="External"/><Relationship Id="rId11" Type="http://schemas.openxmlformats.org/officeDocument/2006/relationships/hyperlink" Target="https://arxiv.org/abs/2210.12805" TargetMode="External"/><Relationship Id="rId12" Type="http://schemas.openxmlformats.org/officeDocument/2006/relationships/hyperlink" Target="https://arxiv.org/abs/2211.09557" TargetMode="External"/><Relationship Id="rId13" Type="http://schemas.openxmlformats.org/officeDocument/2006/relationships/hyperlink" Target="https://arxiv.org/abs/2409.18376" TargetMode="External"/><Relationship Id="rId14" Type="http://schemas.openxmlformats.org/officeDocument/2006/relationships/hyperlink" Target="https://doi.org/10.1049/iet-gtd.2017.1356" TargetMode="External"/><Relationship Id="rId15" Type="http://schemas.openxmlformats.org/officeDocument/2006/relationships/hyperlink" Target="https://doi.org/10.35833/MPCE.2023.000135" TargetMode="External"/><Relationship Id="rId16" Type="http://schemas.openxmlformats.org/officeDocument/2006/relationships/hyperlink" Target="https://arxiv.org/abs/2601.22080" TargetMode="External"/><Relationship Id="rId17" Type="http://schemas.openxmlformats.org/officeDocument/2006/relationships/hyperlink" Target="https://github.com/power-grid-lib/pglib-opf" TargetMode="External"/><Relationship Id="rId18" Type="http://schemas.openxmlformats.org/officeDocument/2006/relationships/hyperlink" Target="https://www.aemo.com.au/-/media/files/electricity/nem/security_and_reliability/system-security-market-frameworks-review/2025/power-system-model-guidelines-v30.pdf" TargetMode="External"/><Relationship Id="rId19" Type="http://schemas.openxmlformats.org/officeDocument/2006/relationships/hyperlink" Target="https://www.nerc.com/comm/RSTC_Reliability_Guidelines/Inverter-Based_Resource_Performance_Guideline.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Volt var droop design for secure transmission operation</dc:title>
  <dc:subject>Reactive reserve, controller stability and faithful scalable optimisation</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