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4A6" w:sz="36"/>
              <w:bottom w:val="none" w:color="FFFFFF" w:sz="0"/>
              <w:right w:val="none" w:color="FFFFFF" w:sz="0"/>
            </w:tcBorders>
            <w:shd w:fill="0B2447" w:val="clear"/>
            <w:tcMar>
              <w:top w:type="dxa" w:w="340"/>
              <w:left w:type="dxa" w:w="360"/>
              <w:bottom w:type="dxa" w:w="34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4A6"/>
                <w:sz w:val="19"/>
                <w:szCs w:val="19"/>
              </w:rPr>
              <w:t xml:space="preserve">MICRO HACK 2 · SETUP &amp; PREREQUISITES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Setup &amp; Prerequisites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C9D7E6"/>
                <w:sz w:val="23"/>
                <w:szCs w:val="23"/>
              </w:rPr>
              <w:t xml:space="preserve">ISV Workloads with the Extensibility Kit — get ready before 09:00</w:t>
            </w:r>
          </w:p>
          <w:p>
            <w:r>
              <w:rPr>
                <w:rFonts w:ascii="Arial" w:cs="Arial" w:eastAsia="Arial" w:hAnsi="Arial"/>
                <w:i/>
                <w:iCs/>
                <w:color w:val="9FB6CE"/>
                <w:sz w:val="18"/>
                <w:szCs w:val="18"/>
              </w:rPr>
              <w:t xml:space="preserve">GreenGrid Analytics (fictional ISV) · stand up your SaaS, then the dev environment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4A6" w:sz="24"/>
              <w:bottom w:val="none" w:color="FFFFFF" w:sz="0"/>
              <w:right w:val="none" w:color="FFFFFF" w:sz="0"/>
            </w:tcBorders>
            <w:shd w:fill="E6F7F4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295900" cy="2066925"/>
                  <wp:effectExtent t="0" r="0" b="0" l="0"/>
                  <wp:docPr id="1" name="diagram" descr="The workload is a thin, Fabric-native layer over your existing SaaS — so the SaaS must exist first." title="The workload is a thin, Fabric-native layer over your existing SaaS — so the SaaS must exist firs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B6B7B"/>
                <w:sz w:val="17"/>
                <w:szCs w:val="17"/>
              </w:rPr>
              <w:t xml:space="preserve">The workload is a thin, Fabric-native layer over your existing SaaS — so the SaaS must exist first.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00B4A6"/>
        </w:rPr>
        <w:t xml:space="preserve">Before you start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 this Micro Hack you turn an existing product into a native Microsoft Fabric workload using the Fabric Extensibility Kit. The workload is mostly a thin layer that surfaces your SaaS inside Fabric. That means there are two things to prepare: your SaaS service, and your Fabric dev environment.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4A6" w:sz="30"/>
              <w:bottom w:val="none" w:color="FFFFFF" w:sz="0"/>
              <w:right w:val="none" w:color="FFFFFF" w:sz="0"/>
            </w:tcBorders>
            <w:shd w:fill="E6F7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4A6"/>
                <w:sz w:val="18"/>
                <w:szCs w:val="18"/>
              </w:rPr>
              <w:t xml:space="preserve">KEY PREREQUISITE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B2A3A"/>
                <w:sz w:val="21"/>
                <w:szCs w:val="21"/>
              </w:rPr>
              <w:t xml:space="preserve">You must develop and stand up a SaaS service first (here, the GreenGrid Optimization API). The workload integrates it — it does not replace it. No reachable SaaS, no working workload.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00B4A6"/>
        </w:rPr>
        <w:t xml:space="preserve">Part A · Your SaaS service (stand up before the day)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small REST service is enough for the hack. It stands in for your real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/optimize</w:t>
            </w:r>
          </w:p>
        </w:tc>
        <w:tc>
          <w:tcPr>
            <w:tcW w:type="dxa" w:w="18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Starts an optimization run, returns a run id</w:t>
            </w:r>
          </w:p>
        </w:tc>
      </w:tr>
      <w:t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/status/{id}</w:t>
            </w:r>
          </w:p>
        </w:tc>
        <w:tc>
          <w:tcPr>
            <w:tcW w:type="dxa" w:w="18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status and, when ready, the result</w:t>
            </w:r>
          </w:p>
        </w:tc>
      </w:tr>
      <w:t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/health</w:t>
            </w:r>
          </w:p>
        </w:tc>
        <w:tc>
          <w:tcPr>
            <w:tcW w:type="dxa" w:w="18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liveness check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Checklist: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The SaaS runs and is reachable over HTTPS (local tunnel, App Service or container).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It accepts an API key or bearer token, and allows CORS from Fabric.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Sample input and a sample result are available to demo.</w:t>
      </w:r>
    </w:p>
    <w:p>
      <w:pPr>
        <w:pStyle w:val="Heading1"/>
      </w:pPr>
      <w:r>
        <w:rPr>
          <w:rFonts w:ascii="Arial" w:cs="Arial" w:eastAsia="Arial" w:hAnsi="Arial"/>
          <w:color w:val="00B4A6"/>
        </w:rPr>
        <w:t xml:space="preserve">Part B · Fabric &amp; developer environment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A Fabric tenant with workload development / developer mode enabled.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A workspace with capacity assigned.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Node.js LTS, git, and the Fabric Extensibility Kit SDK installed.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The starter workload repository cloned locally.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An Entra ID app registration (client id, redirect URI, API scopes).</w:t>
      </w:r>
    </w:p>
    <w:p>
      <w:pPr>
        <w:pStyle w:val="Heading1"/>
      </w:pPr>
      <w:r>
        <w:rPr>
          <w:rFonts w:ascii="Arial" w:cs="Arial" w:eastAsia="Arial" w:hAnsi="Arial"/>
          <w:color w:val="00B4A6"/>
        </w:rPr>
        <w:t xml:space="preserve">Connectivity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4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 machine → SaaS</w:t>
            </w:r>
          </w:p>
        </w:tc>
        <w:tc>
          <w:tcPr>
            <w:tcW w:type="dxa" w:w="5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/health and get 200 OK</w:t>
            </w:r>
          </w:p>
        </w:tc>
      </w:tr>
      <w:tr>
        <w:tc>
          <w:tcPr>
            <w:tcW w:type="dxa" w:w="4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Workload loads locally</w:t>
            </w:r>
          </w:p>
        </w:tc>
        <w:tc>
          <w:tcPr>
            <w:tcW w:type="dxa" w:w="5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the dev server and open it in Fabric</w:t>
            </w:r>
          </w:p>
        </w:tc>
      </w:tr>
      <w:tr>
        <w:tc>
          <w:tcPr>
            <w:tcW w:type="dxa" w:w="4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 works</w:t>
            </w:r>
          </w:p>
        </w:tc>
        <w:tc>
          <w:tcPr>
            <w:tcW w:type="dxa" w:w="5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Acquire a token with your app registration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00B4A6"/>
        </w:rPr>
        <w:t xml:space="preserve">Definition of ready (before 09:00)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The GreenGrid SaaS responds to /health from the open internet.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Each team can run the starter workload locally inside Fabric.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Tokens / app registration are in place and tested.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A coach has completed the scaffold-run-publish loop once on this setup.</w:t>
      </w:r>
    </w:p>
    <w:p>
      <w:pPr>
        <w:pStyle w:val="Heading1"/>
      </w:pPr>
      <w:r>
        <w:rPr>
          <w:rFonts w:ascii="Arial" w:cs="Arial" w:eastAsia="Arial" w:hAnsi="Arial"/>
          <w:color w:val="00B4A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Workload won't load</w:t>
            </w:r>
          </w:p>
        </w:tc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 mode off</w:t>
            </w:r>
          </w:p>
        </w:tc>
        <w:tc>
          <w:tcPr>
            <w:tcW w:type="dxa" w:w="3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workload dev in settings</w:t>
            </w:r>
          </w:p>
        </w:tc>
      </w:tr>
      <w:t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CORS error to SaaS</w:t>
            </w:r>
          </w:p>
        </w:tc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 not allowed</w:t>
            </w:r>
          </w:p>
        </w:tc>
        <w:tc>
          <w:tcPr>
            <w:tcW w:type="dxa" w:w="3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Allow the Fabric origin on the API</w:t>
            </w:r>
          </w:p>
        </w:tc>
      </w:tr>
      <w:t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 from SaaS</w:t>
            </w:r>
          </w:p>
        </w:tc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/ wrong token</w:t>
            </w:r>
          </w:p>
        </w:tc>
        <w:tc>
          <w:tcPr>
            <w:tcW w:type="dxa" w:w="3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API key or bearer token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7B"/>
        <w:sz w:val="15"/>
        <w:szCs w:val="15"/>
      </w:rPr>
      <w:t xml:space="preserve">Page </w:t>
    </w:r>
    <w:r>
      <w:rPr>
        <w:rFonts w:ascii="Arial" w:cs="Arial" w:eastAsia="Arial" w:hAnsi="Arial"/>
        <w:color w:val="5B6B7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7B"/>
        <w:sz w:val="15"/>
        <w:szCs w:val="15"/>
      </w:rPr>
      <w:t xml:space="preserve"> of </w:t>
    </w:r>
    <w:r>
      <w:rPr>
        <w:rFonts w:ascii="Arial" w:cs="Arial" w:eastAsia="Arial" w:hAnsi="Arial"/>
        <w:color w:val="5B6B7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B7B"/>
        <w:sz w:val="15"/>
        <w:szCs w:val="15"/>
      </w:rPr>
      <w:t xml:space="preserve">MICRO HACK 2 · SETUP &amp; PREREQUISITES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Arial" w:cs="Arial" w:eastAsia="Arial" w:hAnsi="Arial"/>
      <w:b/>
      <w:bCs/>
      <w:color w:val="00B4A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B244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61b80372ec88ccdcefca76fa994b571572eb7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&amp; Prerequisites</dc:title>
  <dc:creator>fredgis</dc:creator>
  <dc:description>Setup &amp; Prerequisites</dc:description>
  <cp:lastModifiedBy>Un-named</cp:lastModifiedBy>
  <cp:revision>1</cp:revision>
  <dcterms:created xsi:type="dcterms:W3CDTF">2026-06-16T13:19:50.207Z</dcterms:created>
  <dcterms:modified xsi:type="dcterms:W3CDTF">2026-06-16T13:19:50.207Z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