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color w:val="0D6EFD"/>
        </w:rPr>
        <w:t>Business Requirements Document (BRD)</w:t>
      </w:r>
    </w:p>
    <w:p>
      <w:pPr>
        <w:pStyle w:val="Heading2"/>
        <w:spacing w:before="200" w:after="80"/>
      </w:pPr>
      <w:r>
        <w:rPr>
          <w:color w:val="198754"/>
        </w:rPr>
        <w:t>Rental Unit Management System (RUMS)</w:t>
      </w:r>
    </w:p>
    <w:p>
      <w:pPr>
        <w:spacing w:before="40" w:after="40"/>
      </w:pPr>
      <w:r>
        <w:rPr>
          <w:b/>
        </w:rPr>
        <w:t>Version:</w:t>
      </w:r>
      <w:r>
        <w:t xml:space="preserve"> 1.0</w:t>
      </w:r>
    </w:p>
    <w:p>
      <w:pPr>
        <w:spacing w:before="40" w:after="40"/>
      </w:pPr>
      <w:r>
        <w:rPr>
          <w:b/>
        </w:rPr>
        <w:t>Date:</w:t>
      </w:r>
      <w:r>
        <w:t xml:space="preserve"> 2026-06-17</w:t>
      </w:r>
    </w:p>
    <w:p>
      <w:pPr>
        <w:spacing w:before="40" w:after="40"/>
      </w:pPr>
      <w:r>
        <w:rPr>
          <w:b/>
        </w:rPr>
        <w:t>Status:</w:t>
      </w:r>
      <w:r>
        <w:t xml:space="preserve"> Approved</w:t>
      </w:r>
    </w:p>
    <w:p>
      <w:pPr>
        <w:spacing w:before="40" w:after="40"/>
      </w:pPr>
      <w:r>
        <w:rPr>
          <w:b/>
        </w:rPr>
        <w:t>Prepared by:</w:t>
      </w:r>
      <w:r>
        <w:t xml:space="preserve"> RUMS Project Team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Table of Contents</w:t>
      </w:r>
    </w:p>
    <w:p>
      <w:pPr>
        <w:pStyle w:val="ListNumber"/>
        <w:spacing w:before="20" w:after="20"/>
      </w:pPr>
      <w:r>
        <w:t>[Executive Summary](#1-executive-summary)</w:t>
      </w:r>
    </w:p>
    <w:p>
      <w:pPr>
        <w:pStyle w:val="ListNumber"/>
        <w:spacing w:before="20" w:after="20"/>
      </w:pPr>
      <w:r>
        <w:t>[Business Context](#2-business-context)</w:t>
      </w:r>
    </w:p>
    <w:p>
      <w:pPr>
        <w:pStyle w:val="ListNumber"/>
        <w:spacing w:before="20" w:after="20"/>
      </w:pPr>
      <w:r>
        <w:t>[Stakeholders](#3-stakeholders)</w:t>
      </w:r>
    </w:p>
    <w:p>
      <w:pPr>
        <w:pStyle w:val="ListNumber"/>
        <w:spacing w:before="20" w:after="20"/>
      </w:pPr>
      <w:r>
        <w:t>[Business Objectives](#4-business-objectives)</w:t>
      </w:r>
    </w:p>
    <w:p>
      <w:pPr>
        <w:pStyle w:val="ListNumber"/>
        <w:spacing w:before="20" w:after="20"/>
      </w:pPr>
      <w:r>
        <w:t>[Business Requirements](#5-business-requirements)</w:t>
      </w:r>
    </w:p>
    <w:p>
      <w:pPr>
        <w:pStyle w:val="ListNumber"/>
        <w:spacing w:before="20" w:after="20"/>
      </w:pPr>
      <w:r>
        <w:t>[Scope](#6-scope)</w:t>
      </w:r>
    </w:p>
    <w:p>
      <w:pPr>
        <w:pStyle w:val="ListNumber"/>
        <w:spacing w:before="20" w:after="20"/>
      </w:pPr>
      <w:r>
        <w:t>[Constraints &amp; Assumptions](#7-constraints--assumptions)</w:t>
      </w:r>
    </w:p>
    <w:p>
      <w:pPr>
        <w:pStyle w:val="ListNumber"/>
        <w:spacing w:before="20" w:after="20"/>
      </w:pPr>
      <w:r>
        <w:t>[Success Criteria](#8-success-criteria)</w:t>
      </w:r>
    </w:p>
    <w:p>
      <w:pPr>
        <w:pStyle w:val="ListNumber"/>
        <w:spacing w:before="20" w:after="20"/>
      </w:pPr>
      <w:r>
        <w:t>[Risk Summary](#9-risk-summary)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1. Executive Summary</w:t>
      </w:r>
    </w:p>
    <w:p>
      <w:pPr>
        <w:spacing w:before="40" w:after="40"/>
      </w:pPr>
      <w:r>
        <w:t>The Rental Unit Management System (RUMS) is a comprehensive, web-based property management platform designed to digitise and streamline the end-to-end operations of residential and commercial rental properties in Kenya. The system replaces manual, spreadsheet-based workflows with a centralised, role-aware platform covering property management, tenant lifecycle, lease administration, billing, payments, maintenance, security, and compliance.</w:t>
      </w:r>
    </w:p>
    <w:p>
      <w:pPr>
        <w:spacing w:before="40" w:after="40"/>
      </w:pPr>
      <w:r>
        <w:t>RUMS serves multiple user roles — from property administrators and landlords to tenants, accountants, maintenance staff, security officers, and auditors — through a single, integrated application backed by a RESTful API.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2. Business Context</w:t>
      </w:r>
    </w:p>
    <w:p>
      <w:pPr>
        <w:pStyle w:val="Heading3"/>
        <w:spacing w:before="160" w:after="80"/>
      </w:pPr>
      <w:r>
        <w:rPr>
          <w:color w:val="495257"/>
        </w:rPr>
        <w:t>2.1 Problem Statement</w:t>
      </w:r>
    </w:p>
    <w:p>
      <w:pPr>
        <w:spacing w:before="40" w:after="40"/>
      </w:pPr>
      <w:r>
        <w:t>Property management companies in Kenya face a common set of operational challenges: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Business Impact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Manual rent tracking in spreadsheets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Payment errors, missed collections, disputes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No centralised tenant records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Duplicate data, lost documents, KYC gaps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Paper-based lease agreements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Version control issues, no audit trail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Ad hoc maintenance management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Delayed repairs, poor contractor oversight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No landlord financial reporting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Reduced trust, manual reconciliation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Fragmented communication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Missed notices, rent reminder inefficiencies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No access control by role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Data leakage, compliance exposure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2.2 Business Opportunity</w:t>
      </w:r>
    </w:p>
    <w:p>
      <w:pPr>
        <w:spacing w:before="40" w:after="40"/>
      </w:pPr>
      <w:r>
        <w:t>The Kenyan rental property market manages an estimated 3+ million urban housing units. A well-designed SaaS property management system presents a significant opportunity to:</w:t>
      </w:r>
    </w:p>
    <w:p>
      <w:pPr>
        <w:pStyle w:val="ListBullet"/>
        <w:spacing w:before="20" w:after="20"/>
      </w:pPr>
      <w:r>
        <w:t>Reduce rent collection time by automating invoicing and M-Pesa integration.</w:t>
      </w:r>
    </w:p>
    <w:p>
      <w:pPr>
        <w:pStyle w:val="ListBullet"/>
        <w:spacing w:before="20" w:after="20"/>
      </w:pPr>
      <w:r>
        <w:t>Improve occupancy rates through proactive lease renewal management.</w:t>
      </w:r>
    </w:p>
    <w:p>
      <w:pPr>
        <w:pStyle w:val="ListBullet"/>
        <w:spacing w:before="20" w:after="20"/>
      </w:pPr>
      <w:r>
        <w:t>Build landlord trust through transparent, real-time financial reporting.</w:t>
      </w:r>
    </w:p>
    <w:p>
      <w:pPr>
        <w:pStyle w:val="ListBullet"/>
        <w:spacing w:before="20" w:after="20"/>
      </w:pPr>
      <w:r>
        <w:t>Ensure legal compliance with GDPR-aligned data protection practices.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3. Stakeholders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04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Interest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b/>
              </w:rPr>
              <w:t>Property Owner / Landlord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Business Owner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Revenue collection, portfolio performance, compliance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b/>
              </w:rPr>
              <w:t>Property Manager / Admin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Platform Administrator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Full operational control, user management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b/>
              </w:rPr>
              <w:t>Tenant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End User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Rent payment, lease access, maintenance requests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b/>
              </w:rPr>
              <w:t>Accountant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Finance User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Invoicing, reconciliation, financial reports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b/>
              </w:rPr>
              <w:t>Maintenance Staff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Operations User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Work order management, cost tracking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b/>
              </w:rPr>
              <w:t>Security Officer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Safety User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Visitor logs, incident reporting, occupancy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b/>
              </w:rPr>
              <w:t>Auditor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Compliance User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Read-only access to transactions and audit trail</w:t>
            </w:r>
          </w:p>
        </w:tc>
      </w:tr>
      <w:tr>
        <w:tc>
          <w:tcPr>
            <w:tcW w:type="dxa" w:w="3041"/>
          </w:tcPr>
          <w:p>
            <w:pPr>
              <w:spacing w:before="40" w:after="40"/>
            </w:pPr>
            <w:r>
              <w:rPr>
                <w:b/>
              </w:rPr>
              <w:t>System Administrator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Technical Owner</w:t>
            </w:r>
          </w:p>
        </w:tc>
        <w:tc>
          <w:tcPr>
            <w:tcW w:type="dxa" w:w="3041"/>
          </w:tcPr>
          <w:p>
            <w:pPr>
              <w:spacing w:before="40" w:after="40"/>
            </w:pPr>
            <w:r>
              <w:t>Deployment, uptime, database management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4. Business Objectives</w:t>
      </w:r>
    </w:p>
    <w:p>
      <w:pPr>
        <w:pStyle w:val="Heading3"/>
        <w:spacing w:before="160" w:after="80"/>
      </w:pPr>
      <w:r>
        <w:rPr>
          <w:color w:val="495257"/>
        </w:rPr>
        <w:t>4.1 Primary Objectives</w:t>
      </w:r>
    </w:p>
    <w:p>
      <w:pPr>
        <w:spacing w:before="40" w:after="40"/>
      </w:pPr>
      <w:r>
        <w:rPr>
          <w:b/>
        </w:rPr>
        <w:t>BO-01 — Automated Revenue Collection</w:t>
      </w:r>
    </w:p>
    <w:p>
      <w:pPr>
        <w:spacing w:before="40" w:after="40"/>
      </w:pPr>
      <w:r>
        <w:t>Reduce manual rent collection effort by 80% through automated invoice generation, M-Pesa payment integration, and real-time receipt confirmation.</w:t>
      </w:r>
    </w:p>
    <w:p>
      <w:pPr>
        <w:spacing w:before="40" w:after="40"/>
      </w:pPr>
      <w:r>
        <w:rPr>
          <w:b/>
        </w:rPr>
        <w:t>BO-02 — Centralised Tenant Management</w:t>
      </w:r>
    </w:p>
    <w:p>
      <w:pPr>
        <w:spacing w:before="40" w:after="40"/>
      </w:pPr>
      <w:r>
        <w:t>Maintain a single, encrypted, KYC-compliant tenant record with full tenancy history, accessible to authorised staff only.</w:t>
      </w:r>
    </w:p>
    <w:p>
      <w:pPr>
        <w:spacing w:before="40" w:after="40"/>
      </w:pPr>
      <w:r>
        <w:rPr>
          <w:b/>
        </w:rPr>
        <w:t>BO-03 — Lease Lifecycle Automation</w:t>
      </w:r>
    </w:p>
    <w:p>
      <w:pPr>
        <w:spacing w:before="40" w:after="40"/>
      </w:pPr>
      <w:r>
        <w:t>Automate lease creation, escalation schedules, renewal workflows, and expiry notifications to reduce vacancy periods.</w:t>
      </w:r>
    </w:p>
    <w:p>
      <w:pPr>
        <w:spacing w:before="40" w:after="40"/>
      </w:pPr>
      <w:r>
        <w:rPr>
          <w:b/>
        </w:rPr>
        <w:t>BO-04 — Real-Time Financial Visibility</w:t>
      </w:r>
    </w:p>
    <w:p>
      <w:pPr>
        <w:spacing w:before="40" w:after="40"/>
      </w:pPr>
      <w:r>
        <w:t>Provide landlords and managers with live dashboards showing income, outstanding balances, occupancy rates, and expense summaries.</w:t>
      </w:r>
    </w:p>
    <w:p>
      <w:pPr>
        <w:spacing w:before="40" w:after="40"/>
      </w:pPr>
      <w:r>
        <w:rPr>
          <w:b/>
        </w:rPr>
        <w:t>BO-05 — Regulatory Compliance</w:t>
      </w:r>
    </w:p>
    <w:p>
      <w:pPr>
        <w:spacing w:before="40" w:after="40"/>
      </w:pPr>
      <w:r>
        <w:t>Implement GDPR-aligned data processing, consent management, and right-to-erasure workflows to protect tenant data and business reputation.</w:t>
      </w:r>
    </w:p>
    <w:p>
      <w:pPr>
        <w:spacing w:before="40" w:after="40"/>
      </w:pPr>
      <w:r>
        <w:rPr>
          <w:b/>
        </w:rPr>
        <w:t>BO-06 — Maintenance Efficiency</w:t>
      </w:r>
    </w:p>
    <w:p>
      <w:pPr>
        <w:spacing w:before="40" w:after="40"/>
      </w:pPr>
      <w:r>
        <w:t>Reduce average maintenance turnaround time by providing structured work order management with priority tracking, staff assignment, and cost recording.</w:t>
      </w:r>
    </w:p>
    <w:p>
      <w:pPr>
        <w:pStyle w:val="Heading3"/>
        <w:spacing w:before="160" w:after="80"/>
      </w:pPr>
      <w:r>
        <w:rPr>
          <w:color w:val="495257"/>
        </w:rPr>
        <w:t>4.2 Secondary Objectives</w:t>
      </w:r>
    </w:p>
    <w:p>
      <w:pPr>
        <w:pStyle w:val="ListBullet"/>
        <w:spacing w:before="20" w:after="20"/>
      </w:pPr>
      <w:r>
        <w:rPr>
          <w:b/>
        </w:rPr>
        <w:t>BO-07</w:t>
      </w:r>
      <w:r>
        <w:t xml:space="preserve"> — Provide multi-property portfolio management for landlords with multiple assets.</w:t>
      </w:r>
    </w:p>
    <w:p>
      <w:pPr>
        <w:pStyle w:val="ListBullet"/>
        <w:spacing w:before="20" w:after="20"/>
      </w:pPr>
      <w:r>
        <w:rPr>
          <w:b/>
        </w:rPr>
        <w:t>BO-08</w:t>
      </w:r>
      <w:r>
        <w:t xml:space="preserve"> — Enable secure document storage with versioning and role-based access.</w:t>
      </w:r>
    </w:p>
    <w:p>
      <w:pPr>
        <w:pStyle w:val="ListBullet"/>
        <w:spacing w:before="20" w:after="20"/>
      </w:pPr>
      <w:r>
        <w:rPr>
          <w:b/>
        </w:rPr>
        <w:t>BO-09</w:t>
      </w:r>
      <w:r>
        <w:t xml:space="preserve"> — Support scheduled automated reporting via email to reduce manual report generation.</w:t>
      </w:r>
    </w:p>
    <w:p>
      <w:pPr>
        <w:pStyle w:val="ListBullet"/>
        <w:spacing w:before="20" w:after="20"/>
      </w:pPr>
      <w:r>
        <w:rPr>
          <w:b/>
        </w:rPr>
        <w:t>BO-10</w:t>
      </w:r>
      <w:r>
        <w:t xml:space="preserve"> — Ensure system availability of 99.9% uptime to support business-critical payment flows.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5. Business Requirements</w:t>
      </w:r>
    </w:p>
    <w:p>
      <w:pPr>
        <w:pStyle w:val="Heading3"/>
        <w:spacing w:before="160" w:after="80"/>
      </w:pPr>
      <w:r>
        <w:rPr>
          <w:color w:val="495257"/>
        </w:rPr>
        <w:t>5.1 Property &amp; Unit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BR-001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The system shall support multiple properties under a single account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BR-002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Each property shall support unlimited rental units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BR-003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Units shall track occupancy status in real time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BR-004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Properties shall be assignable to a landlord and a property manager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BR-005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The system shall support unit types: studio, 1BR, 2BR, 3BR, commercial, bedsitter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5.2 Tenant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BR-010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The system shall maintain a complete KYC profile for each tenant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BR-011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Sensitive tenant data (ID numbers, income) shall be encrypted at rest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BR-012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Each tenant shall have a unique system-generated reference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BR-013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Tenant records shall include emergency contacts and next-of-kin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BR-014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The system shall support tenant blacklisting with reason tracking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5.3 Lease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BR-020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The system shall support fixed-term, periodic, commercial, and furnished lease types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BR-021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Leases shall auto-generate invoices on the configured billing day each month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BR-022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The system shall support annual/quarterly rent escalation with configurable rates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BR-023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Lease templates shall be reusable with variable substitution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BR-024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Lease renewal shall trigger an approval workflow before a new lease is activated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5.4 Billing &amp; Payments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BR-030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Invoices shall itemise rent, utility charges, penalties, and discounts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BR-031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The system shall support payment via M-Pesa, bank transfer, cash, cheque, and card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BR-032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M-Pesa STK Push payments shall auto-reconcile via Daraja API callback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BR-033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Late payment penalties shall accrue automatically after the grace period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BR-034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The system shall generate payment receipts downloadable as PDF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5.5 Maintenance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BR-040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Tenants shall be able to submit maintenance requests with photo attachments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BR-041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Requests shall be prioritised as low, medium, high, or urgent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BR-042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Work orders shall be assignable to named maintenance staff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BR-043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The system shall track materials cost, labour cost, and contractor details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BR-044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Recurring maintenance schedules shall be supported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5.6 Reporting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BR-050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The system shall produce occupancy reports by property and unit type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BR-051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Financial reports shall show income, expenses, and outstanding balances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BR-052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Arrears reports shall rank tenants by overdue balance with aging buckets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BR-053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Maintenance reports shall show category breakdowns, costs, and turnaround times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BR-054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Audit reports shall provide a tamper-evident log of all user actions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BR-055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Reports shall be exportable as CSV for offline analysis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BR-056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Scheduled reports shall be automatically emailed on configurable intervals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5.7 Security &amp; 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BR-060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Role-Based Access Control shall restrict features to authorised roles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BR-061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Multi-Factor Authentication shall be available (optional) for all users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BR-062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All sensitive data fields shall be encrypted using AES-256-GCM at rest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BR-063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Users shall be able to download their personal data (GDPR Art. 20)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BR-064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Users shall be able to request account deletion (GDPR Art. 17)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BR-065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Consent to terms, privacy policy, and marketing shall be tracked per user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6. Scope</w:t>
      </w:r>
    </w:p>
    <w:p>
      <w:pPr>
        <w:pStyle w:val="Heading3"/>
        <w:spacing w:before="160" w:after="80"/>
      </w:pPr>
      <w:r>
        <w:rPr>
          <w:color w:val="495257"/>
        </w:rPr>
        <w:t>6.1 In Scope</w:t>
      </w:r>
    </w:p>
    <w:p>
      <w:pPr>
        <w:pStyle w:val="ListBullet"/>
        <w:spacing w:before="20" w:after="20"/>
      </w:pPr>
      <w:r>
        <w:t>Multi-property, multi-unit management</w:t>
      </w:r>
    </w:p>
    <w:p>
      <w:pPr>
        <w:pStyle w:val="ListBullet"/>
        <w:spacing w:before="20" w:after="20"/>
      </w:pPr>
      <w:r>
        <w:t>Full tenant lifecycle (onboarding → offboarding)</w:t>
      </w:r>
    </w:p>
    <w:p>
      <w:pPr>
        <w:pStyle w:val="ListBullet"/>
        <w:spacing w:before="20" w:after="20"/>
      </w:pPr>
      <w:r>
        <w:t>Lease creation, templating, renewals, and escalation</w:t>
      </w:r>
    </w:p>
    <w:p>
      <w:pPr>
        <w:pStyle w:val="ListBullet"/>
        <w:spacing w:before="20" w:after="20"/>
      </w:pPr>
      <w:r>
        <w:t>Automated monthly invoice generation</w:t>
      </w:r>
    </w:p>
    <w:p>
      <w:pPr>
        <w:pStyle w:val="ListBullet"/>
        <w:spacing w:before="20" w:after="20"/>
      </w:pPr>
      <w:r>
        <w:t>M-Pesa STK Push integration</w:t>
      </w:r>
    </w:p>
    <w:p>
      <w:pPr>
        <w:pStyle w:val="ListBullet"/>
        <w:spacing w:before="20" w:after="20"/>
      </w:pPr>
      <w:r>
        <w:t>Bank reconciliation import (CSV statement upload)</w:t>
      </w:r>
    </w:p>
    <w:p>
      <w:pPr>
        <w:pStyle w:val="ListBullet"/>
        <w:spacing w:before="20" w:after="20"/>
      </w:pPr>
      <w:r>
        <w:t>Maintenance work order management</w:t>
      </w:r>
    </w:p>
    <w:p>
      <w:pPr>
        <w:pStyle w:val="ListBullet"/>
        <w:spacing w:before="20" w:after="20"/>
      </w:pPr>
      <w:r>
        <w:t>Document repository with versioning</w:t>
      </w:r>
    </w:p>
    <w:p>
      <w:pPr>
        <w:pStyle w:val="ListBullet"/>
        <w:spacing w:before="20" w:after="20"/>
      </w:pPr>
      <w:r>
        <w:t>Security visitor and incident logging</w:t>
      </w:r>
    </w:p>
    <w:p>
      <w:pPr>
        <w:pStyle w:val="ListBullet"/>
        <w:spacing w:before="20" w:after="20"/>
      </w:pPr>
      <w:r>
        <w:t>Scheduled and on-demand reporting (9 report types)</w:t>
      </w:r>
    </w:p>
    <w:p>
      <w:pPr>
        <w:pStyle w:val="ListBullet"/>
        <w:spacing w:before="20" w:after="20"/>
      </w:pPr>
      <w:r>
        <w:t>GDPR consent, export, and deletion workflows</w:t>
      </w:r>
    </w:p>
    <w:p>
      <w:pPr>
        <w:pStyle w:val="ListBullet"/>
        <w:spacing w:before="20" w:after="20"/>
      </w:pPr>
      <w:r>
        <w:t>Multi-factor authentication (TOTP)</w:t>
      </w:r>
    </w:p>
    <w:p>
      <w:pPr>
        <w:pStyle w:val="ListBullet"/>
        <w:spacing w:before="20" w:after="20"/>
      </w:pPr>
      <w:r>
        <w:t>Audit trail with full change history</w:t>
      </w:r>
    </w:p>
    <w:p>
      <w:pPr>
        <w:pStyle w:val="Heading3"/>
        <w:spacing w:before="160" w:after="80"/>
      </w:pPr>
      <w:r>
        <w:rPr>
          <w:color w:val="495257"/>
        </w:rPr>
        <w:t>6.2 Out of Scope (Phase 1)</w:t>
      </w:r>
    </w:p>
    <w:p>
      <w:pPr>
        <w:pStyle w:val="ListBullet"/>
        <w:spacing w:before="20" w:after="20"/>
      </w:pPr>
      <w:r>
        <w:t>Mobile native applications (iOS/Android)</w:t>
      </w:r>
    </w:p>
    <w:p>
      <w:pPr>
        <w:pStyle w:val="ListBullet"/>
        <w:spacing w:before="20" w:after="20"/>
      </w:pPr>
      <w:r>
        <w:t>Property marketplace / listing portal</w:t>
      </w:r>
    </w:p>
    <w:p>
      <w:pPr>
        <w:pStyle w:val="ListBullet"/>
        <w:spacing w:before="20" w:after="20"/>
      </w:pPr>
      <w:r>
        <w:t>Online tenant application portal</w:t>
      </w:r>
    </w:p>
    <w:p>
      <w:pPr>
        <w:pStyle w:val="ListBullet"/>
        <w:spacing w:before="20" w:after="20"/>
      </w:pPr>
      <w:r>
        <w:t>Third-party accounting software integration (QuickBooks, Sage)</w:t>
      </w:r>
    </w:p>
    <w:p>
      <w:pPr>
        <w:pStyle w:val="ListBullet"/>
        <w:spacing w:before="20" w:after="20"/>
      </w:pPr>
      <w:r>
        <w:t>Utility billing integration (Kenya Power, water utilities)</w:t>
      </w:r>
    </w:p>
    <w:p>
      <w:pPr>
        <w:pStyle w:val="ListBullet"/>
        <w:spacing w:before="20" w:after="20"/>
      </w:pPr>
      <w:r>
        <w:t>Automated lease renewal signatures (e-signature)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7. Constraints &amp; Assumptions</w:t>
      </w:r>
    </w:p>
    <w:p>
      <w:pPr>
        <w:pStyle w:val="Heading3"/>
        <w:spacing w:before="160" w:after="80"/>
      </w:pPr>
      <w:r>
        <w:rPr>
          <w:color w:val="495257"/>
        </w:rPr>
        <w:t>7.1 Constraints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Constraint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Technology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PHP 8.x backend; MySQL 8.x; Bootstrap 5 frontend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Currency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Primary currency is Kenyan Shilling (KES)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Connectivity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System requires internet access; no offline mode in Phase 1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Regulatory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Must comply with Kenya Data Protection Act 2019 and GDPR principles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M-Pesa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Requires Daraja API credentials from Safaricom (Business Paybill/Till)</w:t>
            </w:r>
          </w:p>
        </w:tc>
      </w:tr>
    </w:tbl>
    <w:p/>
    <w:p>
      <w:pPr>
        <w:pStyle w:val="Heading3"/>
        <w:spacing w:before="160" w:after="80"/>
      </w:pPr>
      <w:r>
        <w:rPr>
          <w:color w:val="495257"/>
        </w:rPr>
        <w:t>7.2 Assumptions</w:t>
      </w:r>
    </w:p>
    <w:p>
      <w:pPr>
        <w:pStyle w:val="ListBullet"/>
        <w:spacing w:before="20" w:after="20"/>
      </w:pPr>
      <w:r>
        <w:t>The business has a valid Safaricom Daraja API business account.</w:t>
      </w:r>
    </w:p>
    <w:p>
      <w:pPr>
        <w:pStyle w:val="ListBullet"/>
        <w:spacing w:before="20" w:after="20"/>
      </w:pPr>
      <w:r>
        <w:t>At least one admin user will be pre-seeded by the deployment team.</w:t>
      </w:r>
    </w:p>
    <w:p>
      <w:pPr>
        <w:pStyle w:val="ListBullet"/>
        <w:spacing w:before="20" w:after="20"/>
      </w:pPr>
      <w:r>
        <w:t>SSL/TLS certificates will be provided by the hosting environment.</w:t>
      </w:r>
    </w:p>
    <w:p>
      <w:pPr>
        <w:pStyle w:val="ListBullet"/>
        <w:spacing w:before="20" w:after="20"/>
      </w:pPr>
      <w:r>
        <w:t>Email (SMTP) credentials will be configured before communication features are used.</w:t>
      </w:r>
    </w:p>
    <w:p>
      <w:pPr>
        <w:pStyle w:val="ListBullet"/>
        <w:spacing w:before="20" w:after="20"/>
      </w:pPr>
      <w:r>
        <w:t>All users will have a modern browser (Chrome 90+, Firefox 88+, Edge 88+).</w:t>
      </w:r>
    </w:p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8. Success Criteria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4561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Measurement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Rent collection rate improves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≥ 90% of monthly invoices paid within grace period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Invoice generation automated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100% of active leases generate invoices automatically each month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Maintenance turnaround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Average open-to-resolved time ≤ 7 days for high-priority requests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Audit coverage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100% of create/update/delete actions logged in audit trail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System availability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99.9% uptime measured monthly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Data security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Zero data breaches; AES-256 encryption verified for all PII fields</w:t>
            </w:r>
          </w:p>
        </w:tc>
      </w:tr>
      <w:tr>
        <w:tc>
          <w:tcPr>
            <w:tcW w:type="dxa" w:w="4561"/>
          </w:tcPr>
          <w:p>
            <w:pPr>
              <w:spacing w:before="40" w:after="40"/>
            </w:pPr>
            <w:r>
              <w:t>User adoption</w:t>
            </w:r>
          </w:p>
        </w:tc>
        <w:tc>
          <w:tcPr>
            <w:tcW w:type="dxa" w:w="4561"/>
          </w:tcPr>
          <w:p>
            <w:pPr>
              <w:spacing w:before="40" w:after="40"/>
            </w:pPr>
            <w:r>
              <w:t>All 8 user roles actively using system within 60 days of go-live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pStyle w:val="Heading2"/>
        <w:spacing w:before="200" w:after="80"/>
      </w:pPr>
      <w:r>
        <w:rPr>
          <w:color w:val="198754"/>
        </w:rPr>
        <w:t>9. Risk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280"/>
            <w:shd w:val="clear" w:color="auto" w:fill="0D6EF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M-Pesa API downtime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Medium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High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Payment fallback (cash/bank) + retry queue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Poor internet connectivity for tenants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High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Medium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Mobile-responsive design; SMS notifications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Data migration from legacy systems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Medium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High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Data import scripts + validation checks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User resistance to adoption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Medium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Medium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Role-based training + intuitive UI design</w:t>
            </w:r>
          </w:p>
        </w:tc>
      </w:tr>
      <w:tr>
        <w:tc>
          <w:tcPr>
            <w:tcW w:type="dxa" w:w="2280"/>
          </w:tcPr>
          <w:p>
            <w:pPr>
              <w:spacing w:before="40" w:after="40"/>
            </w:pPr>
            <w:r>
              <w:t>Regulatory changes (data protection)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Low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High</w:t>
            </w:r>
          </w:p>
        </w:tc>
        <w:tc>
          <w:tcPr>
            <w:tcW w:type="dxa" w:w="2280"/>
          </w:tcPr>
          <w:p>
            <w:pPr>
              <w:spacing w:before="40" w:after="40"/>
            </w:pPr>
            <w:r>
              <w:t>GDPR-compliant architecture; modular consent system</w:t>
            </w:r>
          </w:p>
        </w:tc>
      </w:tr>
    </w:tbl>
    <w:p/>
    <w:p>
      <w:pPr>
        <w:spacing w:before="80" w:after="80"/>
        <w:pBdr>
          <w:bottom w:val="single" w:sz="6" w:space="1" w:color="DEE2E6"/>
        </w:pBdr>
      </w:pPr>
      <w:r>
        <w:br/>
      </w:r>
    </w:p>
    <w:p>
      <w:pPr>
        <w:spacing w:before="40" w:after="40"/>
      </w:pPr>
      <w:r>
        <w:rPr>
          <w:i/>
        </w:rPr>
        <w:t>End of Business Requirements Document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