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color w:val="0D6EFD"/>
        </w:rPr>
        <w:t>Functional Requirements Specification (FRS)</w:t>
      </w:r>
    </w:p>
    <w:p>
      <w:pPr>
        <w:pStyle w:val="Heading2"/>
        <w:spacing w:before="200" w:after="80"/>
      </w:pPr>
      <w:r>
        <w:rPr>
          <w:color w:val="198754"/>
        </w:rPr>
        <w:t>Rental Unit Management System (RUMS)</w:t>
      </w:r>
    </w:p>
    <w:p>
      <w:pPr>
        <w:spacing w:before="40" w:after="40"/>
      </w:pPr>
      <w:r>
        <w:rPr>
          <w:b/>
        </w:rPr>
        <w:t>Version:</w:t>
      </w:r>
      <w:r>
        <w:t xml:space="preserve"> 1.0</w:t>
      </w:r>
    </w:p>
    <w:p>
      <w:pPr>
        <w:spacing w:before="40" w:after="40"/>
      </w:pPr>
      <w:r>
        <w:rPr>
          <w:b/>
        </w:rPr>
        <w:t>Date:</w:t>
      </w:r>
      <w:r>
        <w:t xml:space="preserve"> 2026-06-17</w:t>
      </w:r>
    </w:p>
    <w:p>
      <w:pPr>
        <w:spacing w:before="40" w:after="40"/>
      </w:pPr>
      <w:r>
        <w:rPr>
          <w:b/>
        </w:rPr>
        <w:t>Status:</w:t>
      </w:r>
      <w:r>
        <w:t xml:space="preserve"> Approved</w:t>
      </w:r>
    </w:p>
    <w:p>
      <w:pPr>
        <w:spacing w:before="40" w:after="40"/>
      </w:pPr>
      <w:r>
        <w:rPr>
          <w:b/>
        </w:rPr>
        <w:t>References:</w:t>
      </w:r>
      <w:r>
        <w:t xml:space="preserve"> BRD v1.0</w:t>
      </w:r>
    </w:p>
    <w:p>
      <w:pPr>
        <w:spacing w:before="80" w:after="80"/>
        <w:pBdr>
          <w:bottom w:val="single" w:sz="6" w:space="1" w:color="DEE2E6"/>
        </w:pBdr>
      </w:pPr>
      <w:r>
        <w:br/>
      </w:r>
    </w:p>
    <w:p>
      <w:pPr>
        <w:pStyle w:val="Heading2"/>
        <w:spacing w:before="200" w:after="80"/>
      </w:pPr>
      <w:r>
        <w:rPr>
          <w:color w:val="198754"/>
        </w:rPr>
        <w:t>Table of Contents</w:t>
      </w:r>
    </w:p>
    <w:p>
      <w:pPr>
        <w:pStyle w:val="ListNumber"/>
        <w:spacing w:before="20" w:after="20"/>
      </w:pPr>
      <w:r>
        <w:t>[Introduction](#1-introduction)</w:t>
      </w:r>
    </w:p>
    <w:p>
      <w:pPr>
        <w:pStyle w:val="ListNumber"/>
        <w:spacing w:before="20" w:after="20"/>
      </w:pPr>
      <w:r>
        <w:t>[System Overview](#2-system-overview)</w:t>
      </w:r>
    </w:p>
    <w:p>
      <w:pPr>
        <w:pStyle w:val="ListNumber"/>
        <w:spacing w:before="20" w:after="20"/>
      </w:pPr>
      <w:r>
        <w:t>[User Roles &amp; Permissions](#3-user-roles--permissions)</w:t>
      </w:r>
    </w:p>
    <w:p>
      <w:pPr>
        <w:pStyle w:val="ListNumber"/>
        <w:spacing w:before="20" w:after="20"/>
      </w:pPr>
      <w:r>
        <w:t>[Module Specifications](#4-module-specifications)</w:t>
      </w:r>
    </w:p>
    <w:p>
      <w:pPr>
        <w:pStyle w:val="ListNumber"/>
        <w:spacing w:before="20" w:after="20"/>
      </w:pPr>
      <w:r>
        <w:t>[Business Rules](#5-business-rules)</w:t>
      </w:r>
    </w:p>
    <w:p>
      <w:pPr>
        <w:pStyle w:val="ListNumber"/>
        <w:spacing w:before="20" w:after="20"/>
      </w:pPr>
      <w:r>
        <w:t>[Non-Functional Requirements](#6-non-functional-requirements)</w:t>
      </w:r>
    </w:p>
    <w:p>
      <w:pPr>
        <w:spacing w:before="80" w:after="80"/>
        <w:pBdr>
          <w:bottom w:val="single" w:sz="6" w:space="1" w:color="DEE2E6"/>
        </w:pBdr>
      </w:pPr>
      <w:r>
        <w:br/>
      </w:r>
    </w:p>
    <w:p>
      <w:pPr>
        <w:pStyle w:val="Heading2"/>
        <w:spacing w:before="200" w:after="80"/>
      </w:pPr>
      <w:r>
        <w:rPr>
          <w:color w:val="198754"/>
        </w:rPr>
        <w:t>1. Introduction</w:t>
      </w:r>
    </w:p>
    <w:p>
      <w:pPr>
        <w:pStyle w:val="Heading3"/>
        <w:spacing w:before="160" w:after="80"/>
      </w:pPr>
      <w:r>
        <w:rPr>
          <w:color w:val="495257"/>
        </w:rPr>
        <w:t>1.1 Purpose</w:t>
      </w:r>
    </w:p>
    <w:p>
      <w:pPr>
        <w:spacing w:before="40" w:after="40"/>
      </w:pPr>
      <w:r>
        <w:t>This document specifies the functional requirements for RUMS. It defines what the system must do, covering all modules, workflows, and user interactions. It serves as the contract between business stakeholders and the development team.</w:t>
      </w:r>
    </w:p>
    <w:p>
      <w:pPr>
        <w:pStyle w:val="Heading3"/>
        <w:spacing w:before="160" w:after="80"/>
      </w:pPr>
      <w:r>
        <w:rPr>
          <w:color w:val="495257"/>
        </w:rPr>
        <w:t>1.2 Definitions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0D6EFD"/>
          </w:tcPr>
          <w:p>
            <w:pPr>
              <w:spacing w:before="40" w:after="40"/>
            </w:pPr>
            <w:r>
              <w:rPr>
                <w:b/>
                <w:color w:val="FFFFFF"/>
              </w:rPr>
              <w:t>Term</w:t>
            </w:r>
          </w:p>
        </w:tc>
        <w:tc>
          <w:tcPr>
            <w:tcW w:type="dxa" w:w="4561"/>
            <w:shd w:val="clear" w:color="auto" w:fill="0D6EFD"/>
          </w:tcPr>
          <w:p>
            <w:pPr>
              <w:spacing w:before="40" w:after="40"/>
            </w:pPr>
            <w:r>
              <w:rPr>
                <w:b/>
                <w:color w:val="FFFFFF"/>
              </w:rPr>
              <w:t>Definition</w:t>
            </w:r>
          </w:p>
        </w:tc>
      </w:tr>
      <w:tr>
        <w:tc>
          <w:tcPr>
            <w:tcW w:type="dxa" w:w="4561"/>
          </w:tcPr>
          <w:p>
            <w:pPr>
              <w:spacing w:before="40" w:after="40"/>
            </w:pPr>
            <w:r>
              <w:t>Active Lease</w:t>
            </w:r>
          </w:p>
        </w:tc>
        <w:tc>
          <w:tcPr>
            <w:tcW w:type="dxa" w:w="4561"/>
          </w:tcPr>
          <w:p>
            <w:pPr>
              <w:spacing w:before="40" w:after="40"/>
            </w:pPr>
            <w:r>
              <w:t xml:space="preserve">A lease with status </w:t>
            </w:r>
            <w:r>
              <w:rPr>
                <w:rFonts w:ascii="Courier New" w:hAnsi="Courier New"/>
                <w:color w:val="D63384"/>
                <w:sz w:val="18"/>
              </w:rPr>
              <w:t>active</w:t>
            </w:r>
            <w:r>
              <w:t xml:space="preserve"> and end_date in the future</w:t>
            </w:r>
          </w:p>
        </w:tc>
      </w:tr>
      <w:tr>
        <w:tc>
          <w:tcPr>
            <w:tcW w:type="dxa" w:w="4561"/>
          </w:tcPr>
          <w:p>
            <w:pPr>
              <w:spacing w:before="40" w:after="40"/>
            </w:pPr>
            <w:r>
              <w:t>Overdue Invoice</w:t>
            </w:r>
          </w:p>
        </w:tc>
        <w:tc>
          <w:tcPr>
            <w:tcW w:type="dxa" w:w="4561"/>
          </w:tcPr>
          <w:p>
            <w:pPr>
              <w:spacing w:before="40" w:after="40"/>
            </w:pPr>
            <w:r>
              <w:t xml:space="preserve">An invoice past its due_date with status </w:t>
            </w:r>
            <w:r>
              <w:rPr>
                <w:rFonts w:ascii="Courier New" w:hAnsi="Courier New"/>
                <w:color w:val="D63384"/>
                <w:sz w:val="18"/>
              </w:rPr>
              <w:t>unpaid</w:t>
            </w:r>
            <w:r>
              <w:t xml:space="preserve"> or </w:t>
            </w:r>
            <w:r>
              <w:rPr>
                <w:rFonts w:ascii="Courier New" w:hAnsi="Courier New"/>
                <w:color w:val="D63384"/>
                <w:sz w:val="18"/>
              </w:rPr>
              <w:t>partial</w:t>
            </w:r>
          </w:p>
        </w:tc>
      </w:tr>
      <w:tr>
        <w:tc>
          <w:tcPr>
            <w:tcW w:type="dxa" w:w="4561"/>
          </w:tcPr>
          <w:p>
            <w:pPr>
              <w:spacing w:before="40" w:after="40"/>
            </w:pPr>
            <w:r>
              <w:t>Pending Token</w:t>
            </w:r>
          </w:p>
        </w:tc>
        <w:tc>
          <w:tcPr>
            <w:tcW w:type="dxa" w:w="4561"/>
          </w:tcPr>
          <w:p>
            <w:pPr>
              <w:spacing w:before="40" w:after="40"/>
            </w:pPr>
            <w:r>
              <w:t>A short-lived (10 min) MFA challenge token issued at login</w:t>
            </w:r>
          </w:p>
        </w:tc>
      </w:tr>
      <w:tr>
        <w:tc>
          <w:tcPr>
            <w:tcW w:type="dxa" w:w="4561"/>
          </w:tcPr>
          <w:p>
            <w:pPr>
              <w:spacing w:before="40" w:after="40"/>
            </w:pPr>
            <w:r>
              <w:t>UUID</w:t>
            </w:r>
          </w:p>
        </w:tc>
        <w:tc>
          <w:tcPr>
            <w:tcW w:type="dxa" w:w="4561"/>
          </w:tcPr>
          <w:p>
            <w:pPr>
              <w:spacing w:before="40" w:after="40"/>
            </w:pPr>
            <w:r>
              <w:t>Universally Unique Identifier used as the public document reference</w:t>
            </w:r>
          </w:p>
        </w:tc>
      </w:tr>
      <w:tr>
        <w:tc>
          <w:tcPr>
            <w:tcW w:type="dxa" w:w="4561"/>
          </w:tcPr>
          <w:p>
            <w:pPr>
              <w:spacing w:before="40" w:after="40"/>
            </w:pPr>
            <w:r>
              <w:t>KYC</w:t>
            </w:r>
          </w:p>
        </w:tc>
        <w:tc>
          <w:tcPr>
            <w:tcW w:type="dxa" w:w="4561"/>
          </w:tcPr>
          <w:p>
            <w:pPr>
              <w:spacing w:before="40" w:after="40"/>
            </w:pPr>
            <w:r>
              <w:t>Know Your Customer — identity verification documents</w:t>
            </w:r>
          </w:p>
        </w:tc>
      </w:tr>
    </w:tbl>
    <w:p/>
    <w:p>
      <w:pPr>
        <w:spacing w:before="80" w:after="80"/>
        <w:pBdr>
          <w:bottom w:val="single" w:sz="6" w:space="1" w:color="DEE2E6"/>
        </w:pBdr>
      </w:pPr>
      <w:r>
        <w:br/>
      </w:r>
    </w:p>
    <w:p>
      <w:pPr>
        <w:pStyle w:val="Heading2"/>
        <w:spacing w:before="200" w:after="80"/>
      </w:pPr>
      <w:r>
        <w:rPr>
          <w:color w:val="198754"/>
        </w:rPr>
        <w:t>2. System Overview</w:t>
      </w:r>
    </w:p>
    <w:p>
      <w:pPr>
        <w:spacing w:before="40" w:after="40"/>
      </w:pPr>
      <w:r>
        <w:t>RUMS is a two-tier web application:</w:t>
      </w:r>
    </w:p>
    <w:tbl>
      <w:tblPr>
        <w:tblStyle w:val="TableGrid"/>
        <w:tblW w:type="auto" w:w="0"/>
        <w:tblLook w:firstColumn="1" w:firstRow="1" w:lastColumn="0" w:lastRow="0" w:noHBand="0" w:noVBand="1" w:val="04A0"/>
      </w:tblPr>
      <w:tblGrid>
        <w:gridCol w:w="9122"/>
      </w:tblGrid>
      <w:tr>
        <w:tc>
          <w:tcPr>
            <w:tcW w:type="dxa" w:w="9122"/>
            <w:shd w:val="clear" w:color="auto" w:fill="F2F4F6"/>
          </w:tcPr>
          <w:p>
            <w:pPr>
              <w:spacing w:before="0" w:after="0"/>
            </w:pPr>
            <w:r>
              <w:rPr>
                <w:rFonts w:ascii="Courier New" w:hAnsi="Courier New"/>
                <w:color w:val="2D3139"/>
                <w:sz w:val="17"/>
              </w:rPr>
              <w:t>Browser (PHP Frontend)  ──────►  REST API (PHP)  ──────►  MySQL 8.x</w:t>
            </w:r>
          </w:p>
          <w:p>
            <w:pPr>
              <w:spacing w:before="0" w:after="0"/>
            </w:pPr>
            <w:r>
              <w:rPr>
                <w:rFonts w:ascii="Courier New" w:hAnsi="Courier New"/>
                <w:color w:val="2D3139"/>
                <w:sz w:val="17"/>
              </w:rPr>
              <w:t xml:space="preserve">  d:/Nexus/Rental/                d:/Nexus/Rental_api/</w:t>
            </w:r>
          </w:p>
        </w:tc>
      </w:tr>
    </w:tbl>
    <w:p/>
    <w:p>
      <w:pPr>
        <w:pStyle w:val="ListBullet"/>
        <w:spacing w:before="20" w:after="20"/>
      </w:pPr>
      <w:r>
        <w:t xml:space="preserve">All data access goes through the REST API at </w:t>
      </w:r>
      <w:r>
        <w:rPr>
          <w:rFonts w:ascii="Courier New" w:hAnsi="Courier New"/>
          <w:color w:val="D63384"/>
          <w:sz w:val="18"/>
        </w:rPr>
        <w:t>/api/v1/</w:t>
      </w:r>
      <w:r>
        <w:t>.</w:t>
      </w:r>
    </w:p>
    <w:p>
      <w:pPr>
        <w:pStyle w:val="ListBullet"/>
        <w:spacing w:before="20" w:after="20"/>
      </w:pPr>
      <w:r>
        <w:t xml:space="preserve">The frontend authenticates using a Bearer token stored in </w:t>
      </w:r>
      <w:r>
        <w:rPr>
          <w:rFonts w:ascii="Courier New" w:hAnsi="Courier New"/>
          <w:color w:val="D63384"/>
          <w:sz w:val="18"/>
        </w:rPr>
        <w:t>$_SESSION['api_token']</w:t>
      </w:r>
      <w:r>
        <w:t>.</w:t>
      </w:r>
    </w:p>
    <w:p>
      <w:pPr>
        <w:pStyle w:val="ListBullet"/>
        <w:spacing w:before="20" w:after="20"/>
      </w:pPr>
      <w:r>
        <w:t>The API enforces RBAC via token scopes.</w:t>
      </w:r>
    </w:p>
    <w:p>
      <w:pPr>
        <w:spacing w:before="80" w:after="80"/>
        <w:pBdr>
          <w:bottom w:val="single" w:sz="6" w:space="1" w:color="DEE2E6"/>
        </w:pBdr>
      </w:pPr>
      <w:r>
        <w:br/>
      </w:r>
    </w:p>
    <w:p>
      <w:pPr>
        <w:pStyle w:val="Heading2"/>
        <w:spacing w:before="200" w:after="80"/>
      </w:pPr>
      <w:r>
        <w:rPr>
          <w:color w:val="198754"/>
        </w:rPr>
        <w:t>3. User Roles &amp; Permissions</w:t>
      </w:r>
    </w:p>
    <w:p>
      <w:pPr>
        <w:pStyle w:val="Heading3"/>
        <w:spacing w:before="160" w:after="80"/>
      </w:pPr>
      <w:r>
        <w:rPr>
          <w:color w:val="495257"/>
        </w:rPr>
        <w:t>3.1 Role Definitions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0D6EFD"/>
          </w:tcPr>
          <w:p>
            <w:pPr>
              <w:spacing w:before="40" w:after="40"/>
            </w:pPr>
            <w:r>
              <w:rPr>
                <w:b/>
                <w:color w:val="FFFFFF"/>
              </w:rPr>
              <w:t>Role</w:t>
            </w:r>
          </w:p>
        </w:tc>
        <w:tc>
          <w:tcPr>
            <w:tcW w:type="dxa" w:w="4561"/>
            <w:shd w:val="clear" w:color="auto" w:fill="0D6EFD"/>
          </w:tcPr>
          <w:p>
            <w:pPr>
              <w:spacing w:before="40" w:after="40"/>
            </w:pPr>
            <w:r>
              <w:rPr>
                <w:b/>
                <w:color w:val="FFFFFF"/>
              </w:rPr>
              <w:t>Description</w:t>
            </w:r>
          </w:p>
        </w:tc>
      </w:tr>
      <w:tr>
        <w:tc>
          <w:tcPr>
            <w:tcW w:type="dxa" w:w="4561"/>
          </w:tcPr>
          <w:p>
            <w:pPr>
              <w:spacing w:before="40" w:after="40"/>
            </w:pPr>
            <w:r>
              <w:rPr>
                <w:rFonts w:ascii="Courier New" w:hAnsi="Courier New"/>
                <w:color w:val="D63384"/>
                <w:sz w:val="18"/>
              </w:rPr>
              <w:t>admin</w:t>
            </w:r>
          </w:p>
        </w:tc>
        <w:tc>
          <w:tcPr>
            <w:tcW w:type="dxa" w:w="4561"/>
          </w:tcPr>
          <w:p>
            <w:pPr>
              <w:spacing w:before="40" w:after="40"/>
            </w:pPr>
            <w:r>
              <w:t>Full system access; manages users, properties, all data</w:t>
            </w:r>
          </w:p>
        </w:tc>
      </w:tr>
      <w:tr>
        <w:tc>
          <w:tcPr>
            <w:tcW w:type="dxa" w:w="4561"/>
          </w:tcPr>
          <w:p>
            <w:pPr>
              <w:spacing w:before="40" w:after="40"/>
            </w:pPr>
            <w:r>
              <w:rPr>
                <w:rFonts w:ascii="Courier New" w:hAnsi="Courier New"/>
                <w:color w:val="D63384"/>
                <w:sz w:val="18"/>
              </w:rPr>
              <w:t>manager</w:t>
            </w:r>
          </w:p>
        </w:tc>
        <w:tc>
          <w:tcPr>
            <w:tcW w:type="dxa" w:w="4561"/>
          </w:tcPr>
          <w:p>
            <w:pPr>
              <w:spacing w:before="40" w:after="40"/>
            </w:pPr>
            <w:r>
              <w:t>Operational access; no user management; can view all reports</w:t>
            </w:r>
          </w:p>
        </w:tc>
      </w:tr>
      <w:tr>
        <w:tc>
          <w:tcPr>
            <w:tcW w:type="dxa" w:w="4561"/>
          </w:tcPr>
          <w:p>
            <w:pPr>
              <w:spacing w:before="40" w:after="40"/>
            </w:pPr>
            <w:r>
              <w:rPr>
                <w:rFonts w:ascii="Courier New" w:hAnsi="Courier New"/>
                <w:color w:val="D63384"/>
                <w:sz w:val="18"/>
              </w:rPr>
              <w:t>landlord</w:t>
            </w:r>
          </w:p>
        </w:tc>
        <w:tc>
          <w:tcPr>
            <w:tcW w:type="dxa" w:w="4561"/>
          </w:tcPr>
          <w:p>
            <w:pPr>
              <w:spacing w:before="40" w:after="40"/>
            </w:pPr>
            <w:r>
              <w:t>Read-only view of own properties, income, and statements</w:t>
            </w:r>
          </w:p>
        </w:tc>
      </w:tr>
      <w:tr>
        <w:tc>
          <w:tcPr>
            <w:tcW w:type="dxa" w:w="4561"/>
          </w:tcPr>
          <w:p>
            <w:pPr>
              <w:spacing w:before="40" w:after="40"/>
            </w:pPr>
            <w:r>
              <w:rPr>
                <w:rFonts w:ascii="Courier New" w:hAnsi="Courier New"/>
                <w:color w:val="D63384"/>
                <w:sz w:val="18"/>
              </w:rPr>
              <w:t>tenant</w:t>
            </w:r>
          </w:p>
        </w:tc>
        <w:tc>
          <w:tcPr>
            <w:tcW w:type="dxa" w:w="4561"/>
          </w:tcPr>
          <w:p>
            <w:pPr>
              <w:spacing w:before="40" w:after="40"/>
            </w:pPr>
            <w:r>
              <w:t>Self-service portal; own lease, invoices, payments, maintenance</w:t>
            </w:r>
          </w:p>
        </w:tc>
      </w:tr>
      <w:tr>
        <w:tc>
          <w:tcPr>
            <w:tcW w:type="dxa" w:w="4561"/>
          </w:tcPr>
          <w:p>
            <w:pPr>
              <w:spacing w:before="40" w:after="40"/>
            </w:pPr>
            <w:r>
              <w:rPr>
                <w:rFonts w:ascii="Courier New" w:hAnsi="Courier New"/>
                <w:color w:val="D63384"/>
                <w:sz w:val="18"/>
              </w:rPr>
              <w:t>accountant</w:t>
            </w:r>
          </w:p>
        </w:tc>
        <w:tc>
          <w:tcPr>
            <w:tcW w:type="dxa" w:w="4561"/>
          </w:tcPr>
          <w:p>
            <w:pPr>
              <w:spacing w:before="40" w:after="40"/>
            </w:pPr>
            <w:r>
              <w:t>Financial modules; invoices, payments, reconciliation, reports</w:t>
            </w:r>
          </w:p>
        </w:tc>
      </w:tr>
      <w:tr>
        <w:tc>
          <w:tcPr>
            <w:tcW w:type="dxa" w:w="4561"/>
          </w:tcPr>
          <w:p>
            <w:pPr>
              <w:spacing w:before="40" w:after="40"/>
            </w:pPr>
            <w:r>
              <w:rPr>
                <w:rFonts w:ascii="Courier New" w:hAnsi="Courier New"/>
                <w:color w:val="D63384"/>
                <w:sz w:val="18"/>
              </w:rPr>
              <w:t>maintenance</w:t>
            </w:r>
          </w:p>
        </w:tc>
        <w:tc>
          <w:tcPr>
            <w:tcW w:type="dxa" w:w="4561"/>
          </w:tcPr>
          <w:p>
            <w:pPr>
              <w:spacing w:before="40" w:after="40"/>
            </w:pPr>
            <w:r>
              <w:t>Work orders assigned to them; no financial data access</w:t>
            </w:r>
          </w:p>
        </w:tc>
      </w:tr>
      <w:tr>
        <w:tc>
          <w:tcPr>
            <w:tcW w:type="dxa" w:w="4561"/>
          </w:tcPr>
          <w:p>
            <w:pPr>
              <w:spacing w:before="40" w:after="40"/>
            </w:pPr>
            <w:r>
              <w:rPr>
                <w:rFonts w:ascii="Courier New" w:hAnsi="Courier New"/>
                <w:color w:val="D63384"/>
                <w:sz w:val="18"/>
              </w:rPr>
              <w:t>auditor</w:t>
            </w:r>
          </w:p>
        </w:tc>
        <w:tc>
          <w:tcPr>
            <w:tcW w:type="dxa" w:w="4561"/>
          </w:tcPr>
          <w:p>
            <w:pPr>
              <w:spacing w:before="40" w:after="40"/>
            </w:pPr>
            <w:r>
              <w:t>Read-only across all modules; cannot modify any data</w:t>
            </w:r>
          </w:p>
        </w:tc>
      </w:tr>
      <w:tr>
        <w:tc>
          <w:tcPr>
            <w:tcW w:type="dxa" w:w="4561"/>
          </w:tcPr>
          <w:p>
            <w:pPr>
              <w:spacing w:before="40" w:after="40"/>
            </w:pPr>
            <w:r>
              <w:rPr>
                <w:rFonts w:ascii="Courier New" w:hAnsi="Courier New"/>
                <w:color w:val="D63384"/>
                <w:sz w:val="18"/>
              </w:rPr>
              <w:t>security</w:t>
            </w:r>
          </w:p>
        </w:tc>
        <w:tc>
          <w:tcPr>
            <w:tcW w:type="dxa" w:w="4561"/>
          </w:tcPr>
          <w:p>
            <w:pPr>
              <w:spacing w:before="40" w:after="40"/>
            </w:pPr>
            <w:r>
              <w:t>Visitor log, occupancy log, incidents only</w:t>
            </w:r>
          </w:p>
        </w:tc>
      </w:tr>
    </w:tbl>
    <w:p/>
    <w:p>
      <w:pPr>
        <w:pStyle w:val="Heading3"/>
        <w:spacing w:before="160" w:after="80"/>
      </w:pPr>
      <w:r>
        <w:rPr>
          <w:color w:val="495257"/>
        </w:rPr>
        <w:t>3.2 Permission Matrix</w:t>
      </w:r>
    </w:p>
    <w:tbl>
      <w:tblPr>
        <w:tblStyle w:val="TableGrid"/>
        <w:tblW w:type="auto" w:w="0"/>
        <w:jc w:val="left"/>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shd w:val="clear" w:color="auto" w:fill="0D6EFD"/>
          </w:tcPr>
          <w:p>
            <w:pPr>
              <w:spacing w:before="40" w:after="40"/>
            </w:pPr>
            <w:r>
              <w:rPr>
                <w:b/>
                <w:color w:val="FFFFFF"/>
              </w:rPr>
              <w:t>Feature</w:t>
            </w:r>
          </w:p>
        </w:tc>
        <w:tc>
          <w:tcPr>
            <w:tcW w:type="dxa" w:w="1014"/>
            <w:shd w:val="clear" w:color="auto" w:fill="0D6EFD"/>
          </w:tcPr>
          <w:p>
            <w:pPr>
              <w:spacing w:before="40" w:after="40"/>
            </w:pPr>
            <w:r>
              <w:rPr>
                <w:b/>
                <w:color w:val="FFFFFF"/>
              </w:rPr>
              <w:t>admin</w:t>
            </w:r>
          </w:p>
        </w:tc>
        <w:tc>
          <w:tcPr>
            <w:tcW w:type="dxa" w:w="1014"/>
            <w:shd w:val="clear" w:color="auto" w:fill="0D6EFD"/>
          </w:tcPr>
          <w:p>
            <w:pPr>
              <w:spacing w:before="40" w:after="40"/>
            </w:pPr>
            <w:r>
              <w:rPr>
                <w:b/>
                <w:color w:val="FFFFFF"/>
              </w:rPr>
              <w:t>manager</w:t>
            </w:r>
          </w:p>
        </w:tc>
        <w:tc>
          <w:tcPr>
            <w:tcW w:type="dxa" w:w="1014"/>
            <w:shd w:val="clear" w:color="auto" w:fill="0D6EFD"/>
          </w:tcPr>
          <w:p>
            <w:pPr>
              <w:spacing w:before="40" w:after="40"/>
            </w:pPr>
            <w:r>
              <w:rPr>
                <w:b/>
                <w:color w:val="FFFFFF"/>
              </w:rPr>
              <w:t>landlord</w:t>
            </w:r>
          </w:p>
        </w:tc>
        <w:tc>
          <w:tcPr>
            <w:tcW w:type="dxa" w:w="1014"/>
            <w:shd w:val="clear" w:color="auto" w:fill="0D6EFD"/>
          </w:tcPr>
          <w:p>
            <w:pPr>
              <w:spacing w:before="40" w:after="40"/>
            </w:pPr>
            <w:r>
              <w:rPr>
                <w:b/>
                <w:color w:val="FFFFFF"/>
              </w:rPr>
              <w:t>tenant</w:t>
            </w:r>
          </w:p>
        </w:tc>
        <w:tc>
          <w:tcPr>
            <w:tcW w:type="dxa" w:w="1014"/>
            <w:shd w:val="clear" w:color="auto" w:fill="0D6EFD"/>
          </w:tcPr>
          <w:p>
            <w:pPr>
              <w:spacing w:before="40" w:after="40"/>
            </w:pPr>
            <w:r>
              <w:rPr>
                <w:b/>
                <w:color w:val="FFFFFF"/>
              </w:rPr>
              <w:t>accountant</w:t>
            </w:r>
          </w:p>
        </w:tc>
        <w:tc>
          <w:tcPr>
            <w:tcW w:type="dxa" w:w="1014"/>
            <w:shd w:val="clear" w:color="auto" w:fill="0D6EFD"/>
          </w:tcPr>
          <w:p>
            <w:pPr>
              <w:spacing w:before="40" w:after="40"/>
            </w:pPr>
            <w:r>
              <w:rPr>
                <w:b/>
                <w:color w:val="FFFFFF"/>
              </w:rPr>
              <w:t>maintenance</w:t>
            </w:r>
          </w:p>
        </w:tc>
        <w:tc>
          <w:tcPr>
            <w:tcW w:type="dxa" w:w="1014"/>
            <w:shd w:val="clear" w:color="auto" w:fill="0D6EFD"/>
          </w:tcPr>
          <w:p>
            <w:pPr>
              <w:spacing w:before="40" w:after="40"/>
            </w:pPr>
            <w:r>
              <w:rPr>
                <w:b/>
                <w:color w:val="FFFFFF"/>
              </w:rPr>
              <w:t>auditor</w:t>
            </w:r>
          </w:p>
        </w:tc>
        <w:tc>
          <w:tcPr>
            <w:tcW w:type="dxa" w:w="1014"/>
            <w:shd w:val="clear" w:color="auto" w:fill="0D6EFD"/>
          </w:tcPr>
          <w:p>
            <w:pPr>
              <w:spacing w:before="40" w:after="40"/>
            </w:pPr>
            <w:r>
              <w:rPr>
                <w:b/>
                <w:color w:val="FFFFFF"/>
              </w:rPr>
              <w:t>security</w:t>
            </w:r>
          </w:p>
        </w:tc>
      </w:tr>
      <w:tr>
        <w:tc>
          <w:tcPr>
            <w:tcW w:type="dxa" w:w="1014"/>
          </w:tcPr>
          <w:p>
            <w:pPr>
              <w:spacing w:before="40" w:after="40"/>
            </w:pPr>
            <w:r>
              <w:t>User Management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r>
      <w:tr>
        <w:tc>
          <w:tcPr>
            <w:tcW w:type="dxa" w:w="1014"/>
          </w:tcPr>
          <w:p>
            <w:pPr>
              <w:spacing w:before="40" w:after="40"/>
            </w:pPr>
            <w:r>
              <w:t>Properties (CRUD)</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R</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R</w:t>
            </w:r>
          </w:p>
        </w:tc>
        <w:tc>
          <w:tcPr>
            <w:tcW w:type="dxa" w:w="1014"/>
          </w:tcPr>
          <w:p>
            <w:pPr>
              <w:spacing w:before="40" w:after="40"/>
            </w:pPr>
            <w:r>
              <w:t>—</w:t>
            </w:r>
          </w:p>
        </w:tc>
      </w:tr>
      <w:tr>
        <w:tc>
          <w:tcPr>
            <w:tcW w:type="dxa" w:w="1014"/>
          </w:tcPr>
          <w:p>
            <w:pPr>
              <w:spacing w:before="40" w:after="40"/>
            </w:pPr>
            <w:r>
              <w:t>Units (CRUD)</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R</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R</w:t>
            </w:r>
          </w:p>
        </w:tc>
        <w:tc>
          <w:tcPr>
            <w:tcW w:type="dxa" w:w="1014"/>
          </w:tcPr>
          <w:p>
            <w:pPr>
              <w:spacing w:before="40" w:after="40"/>
            </w:pPr>
            <w:r>
              <w:t>—</w:t>
            </w:r>
          </w:p>
        </w:tc>
      </w:tr>
      <w:tr>
        <w:tc>
          <w:tcPr>
            <w:tcW w:type="dxa" w:w="1014"/>
          </w:tcPr>
          <w:p>
            <w:pPr>
              <w:spacing w:before="40" w:after="40"/>
            </w:pPr>
            <w:r>
              <w:t>Tenants (CRUD)</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Self</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R</w:t>
            </w:r>
          </w:p>
        </w:tc>
        <w:tc>
          <w:tcPr>
            <w:tcW w:type="dxa" w:w="1014"/>
          </w:tcPr>
          <w:p>
            <w:pPr>
              <w:spacing w:before="40" w:after="40"/>
            </w:pPr>
            <w:r>
              <w:t>—</w:t>
            </w:r>
          </w:p>
        </w:tc>
      </w:tr>
      <w:tr>
        <w:tc>
          <w:tcPr>
            <w:tcW w:type="dxa" w:w="1014"/>
          </w:tcPr>
          <w:p>
            <w:pPr>
              <w:spacing w:before="40" w:after="40"/>
            </w:pPr>
            <w:r>
              <w:t>Leases (CRUD)</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R</w:t>
            </w:r>
          </w:p>
        </w:tc>
        <w:tc>
          <w:tcPr>
            <w:tcW w:type="dxa" w:w="1014"/>
          </w:tcPr>
          <w:p>
            <w:pPr>
              <w:spacing w:before="40" w:after="40"/>
            </w:pPr>
            <w:r>
              <w:t>R</w:t>
            </w:r>
          </w:p>
        </w:tc>
        <w:tc>
          <w:tcPr>
            <w:tcW w:type="dxa" w:w="1014"/>
          </w:tcPr>
          <w:p>
            <w:pPr>
              <w:spacing w:before="40" w:after="40"/>
            </w:pPr>
            <w:r>
              <w:t>R</w:t>
            </w:r>
          </w:p>
        </w:tc>
        <w:tc>
          <w:tcPr>
            <w:tcW w:type="dxa" w:w="1014"/>
          </w:tcPr>
          <w:p>
            <w:pPr>
              <w:spacing w:before="40" w:after="40"/>
            </w:pPr>
            <w:r>
              <w:t>—</w:t>
            </w:r>
          </w:p>
        </w:tc>
        <w:tc>
          <w:tcPr>
            <w:tcW w:type="dxa" w:w="1014"/>
          </w:tcPr>
          <w:p>
            <w:pPr>
              <w:spacing w:before="40" w:after="40"/>
            </w:pPr>
            <w:r>
              <w:t>R</w:t>
            </w:r>
          </w:p>
        </w:tc>
        <w:tc>
          <w:tcPr>
            <w:tcW w:type="dxa" w:w="1014"/>
          </w:tcPr>
          <w:p>
            <w:pPr>
              <w:spacing w:before="40" w:after="40"/>
            </w:pPr>
            <w:r>
              <w:t>—</w:t>
            </w:r>
          </w:p>
        </w:tc>
      </w:tr>
      <w:tr>
        <w:tc>
          <w:tcPr>
            <w:tcW w:type="dxa" w:w="1014"/>
          </w:tcPr>
          <w:p>
            <w:pPr>
              <w:spacing w:before="40" w:after="40"/>
            </w:pPr>
            <w:r>
              <w:t>Invoices (CRUD)</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R</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R</w:t>
            </w:r>
          </w:p>
        </w:tc>
        <w:tc>
          <w:tcPr>
            <w:tcW w:type="dxa" w:w="1014"/>
          </w:tcPr>
          <w:p>
            <w:pPr>
              <w:spacing w:before="40" w:after="40"/>
            </w:pPr>
            <w:r>
              <w:t>—</w:t>
            </w:r>
          </w:p>
        </w:tc>
      </w:tr>
      <w:tr>
        <w:tc>
          <w:tcPr>
            <w:tcW w:type="dxa" w:w="1014"/>
          </w:tcPr>
          <w:p>
            <w:pPr>
              <w:spacing w:before="40" w:after="40"/>
            </w:pPr>
            <w:r>
              <w:t>Payments (CRUD)</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R</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R</w:t>
            </w:r>
          </w:p>
        </w:tc>
        <w:tc>
          <w:tcPr>
            <w:tcW w:type="dxa" w:w="1014"/>
          </w:tcPr>
          <w:p>
            <w:pPr>
              <w:spacing w:before="40" w:after="40"/>
            </w:pPr>
            <w:r>
              <w:t>—</w:t>
            </w:r>
          </w:p>
        </w:tc>
      </w:tr>
      <w:tr>
        <w:tc>
          <w:tcPr>
            <w:tcW w:type="dxa" w:w="1014"/>
          </w:tcPr>
          <w:p>
            <w:pPr>
              <w:spacing w:before="40" w:after="40"/>
            </w:pPr>
            <w:r>
              <w:t>Maintenance (CRUD)</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Create/R</w:t>
            </w:r>
          </w:p>
        </w:tc>
        <w:tc>
          <w:tcPr>
            <w:tcW w:type="dxa" w:w="1014"/>
          </w:tcPr>
          <w:p>
            <w:pPr>
              <w:spacing w:before="40" w:after="40"/>
            </w:pPr>
            <w:r>
              <w:t>—</w:t>
            </w:r>
          </w:p>
        </w:tc>
        <w:tc>
          <w:tcPr>
            <w:tcW w:type="dxa" w:w="1014"/>
          </w:tcPr>
          <w:p>
            <w:pPr>
              <w:spacing w:before="40" w:after="40"/>
            </w:pPr>
            <w:r>
              <w:t>Update</w:t>
            </w:r>
          </w:p>
        </w:tc>
        <w:tc>
          <w:tcPr>
            <w:tcW w:type="dxa" w:w="1014"/>
          </w:tcPr>
          <w:p>
            <w:pPr>
              <w:spacing w:before="40" w:after="40"/>
            </w:pPr>
            <w:r>
              <w:t>R</w:t>
            </w:r>
          </w:p>
        </w:tc>
        <w:tc>
          <w:tcPr>
            <w:tcW w:type="dxa" w:w="1014"/>
          </w:tcPr>
          <w:p>
            <w:pPr>
              <w:spacing w:before="40" w:after="40"/>
            </w:pPr>
            <w:r>
              <w:t>—</w:t>
            </w:r>
          </w:p>
        </w:tc>
      </w:tr>
      <w:tr>
        <w:tc>
          <w:tcPr>
            <w:tcW w:type="dxa" w:w="1014"/>
          </w:tcPr>
          <w:p>
            <w:pPr>
              <w:spacing w:before="40" w:after="40"/>
            </w:pPr>
            <w:r>
              <w:t>Documents</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Own</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R</w:t>
            </w:r>
          </w:p>
        </w:tc>
        <w:tc>
          <w:tcPr>
            <w:tcW w:type="dxa" w:w="1014"/>
          </w:tcPr>
          <w:p>
            <w:pPr>
              <w:spacing w:before="40" w:after="40"/>
            </w:pPr>
            <w:r>
              <w:t>—</w:t>
            </w:r>
          </w:p>
        </w:tc>
      </w:tr>
      <w:tr>
        <w:tc>
          <w:tcPr>
            <w:tcW w:type="dxa" w:w="1014"/>
          </w:tcPr>
          <w:p>
            <w:pPr>
              <w:spacing w:before="40" w:after="40"/>
            </w:pPr>
            <w:r>
              <w:t>Reports</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Own</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R</w:t>
            </w:r>
          </w:p>
        </w:tc>
        <w:tc>
          <w:tcPr>
            <w:tcW w:type="dxa" w:w="1014"/>
          </w:tcPr>
          <w:p>
            <w:pPr>
              <w:spacing w:before="40" w:after="40"/>
            </w:pPr>
            <w:r>
              <w:t>—</w:t>
            </w:r>
          </w:p>
        </w:tc>
      </w:tr>
      <w:tr>
        <w:tc>
          <w:tcPr>
            <w:tcW w:type="dxa" w:w="1014"/>
          </w:tcPr>
          <w:p>
            <w:pPr>
              <w:spacing w:before="40" w:after="40"/>
            </w:pPr>
            <w:r>
              <w:t>Security Logs</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R</w:t>
            </w:r>
          </w:p>
        </w:tc>
        <w:tc>
          <w:tcPr>
            <w:tcW w:type="dxa" w:w="1014"/>
          </w:tcPr>
          <w:p>
            <w:pPr>
              <w:spacing w:before="40" w:after="40"/>
            </w:pPr>
            <w:r>
              <w:t>✓</w:t>
            </w:r>
          </w:p>
        </w:tc>
      </w:tr>
      <w:tr>
        <w:tc>
          <w:tcPr>
            <w:tcW w:type="dxa" w:w="1014"/>
          </w:tcPr>
          <w:p>
            <w:pPr>
              <w:spacing w:before="40" w:after="40"/>
            </w:pPr>
            <w:r>
              <w:t>Audit Trail</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r>
      <w:tr>
        <w:tc>
          <w:tcPr>
            <w:tcW w:type="dxa" w:w="1014"/>
          </w:tcPr>
          <w:p>
            <w:pPr>
              <w:spacing w:before="40" w:after="40"/>
            </w:pPr>
            <w:r>
              <w:t>Settings</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c>
          <w:tcPr>
            <w:tcW w:type="dxa" w:w="1014"/>
          </w:tcPr>
          <w:p>
            <w:pPr>
              <w:spacing w:before="40" w:after="40"/>
            </w:pPr>
            <w:r>
              <w:t>—</w:t>
            </w:r>
          </w:p>
        </w:tc>
      </w:tr>
      <w:tr>
        <w:tc>
          <w:tcPr>
            <w:tcW w:type="dxa" w:w="1014"/>
          </w:tcPr>
          <w:p>
            <w:pPr>
              <w:spacing w:before="40" w:after="40"/>
            </w:pPr>
            <w:r>
              <w:t>GDPR / Account</w:t>
            </w:r>
          </w:p>
        </w:tc>
        <w:tc>
          <w:tcPr>
            <w:tcW w:type="dxa" w:w="1014"/>
          </w:tcPr>
          <w:p>
            <w:pPr>
              <w:spacing w:before="40" w:after="40"/>
            </w:pPr>
            <w:r>
              <w:t>✓</w:t>
            </w:r>
          </w:p>
        </w:tc>
        <w:tc>
          <w:tcPr>
            <w:tcW w:type="dxa" w:w="1014"/>
          </w:tcPr>
          <w:p>
            <w:pPr>
              <w:spacing w:before="40" w:after="40"/>
            </w:pPr>
            <w:r>
              <w:t>Self</w:t>
            </w:r>
          </w:p>
        </w:tc>
        <w:tc>
          <w:tcPr>
            <w:tcW w:type="dxa" w:w="1014"/>
          </w:tcPr>
          <w:p>
            <w:pPr>
              <w:spacing w:before="40" w:after="40"/>
            </w:pPr>
            <w:r>
              <w:t>Self</w:t>
            </w:r>
          </w:p>
        </w:tc>
        <w:tc>
          <w:tcPr>
            <w:tcW w:type="dxa" w:w="1014"/>
          </w:tcPr>
          <w:p>
            <w:pPr>
              <w:spacing w:before="40" w:after="40"/>
            </w:pPr>
            <w:r>
              <w:t>Self</w:t>
            </w:r>
          </w:p>
        </w:tc>
        <w:tc>
          <w:tcPr>
            <w:tcW w:type="dxa" w:w="1014"/>
          </w:tcPr>
          <w:p>
            <w:pPr>
              <w:spacing w:before="40" w:after="40"/>
            </w:pPr>
            <w:r>
              <w:t>Self</w:t>
            </w:r>
          </w:p>
        </w:tc>
        <w:tc>
          <w:tcPr>
            <w:tcW w:type="dxa" w:w="1014"/>
          </w:tcPr>
          <w:p>
            <w:pPr>
              <w:spacing w:before="40" w:after="40"/>
            </w:pPr>
            <w:r>
              <w:t>Self</w:t>
            </w:r>
          </w:p>
        </w:tc>
        <w:tc>
          <w:tcPr>
            <w:tcW w:type="dxa" w:w="1014"/>
          </w:tcPr>
          <w:p>
            <w:pPr>
              <w:spacing w:before="40" w:after="40"/>
            </w:pPr>
            <w:r>
              <w:t>Self</w:t>
            </w:r>
          </w:p>
        </w:tc>
        <w:tc>
          <w:tcPr>
            <w:tcW w:type="dxa" w:w="1014"/>
          </w:tcPr>
          <w:p>
            <w:pPr>
              <w:spacing w:before="40" w:after="40"/>
            </w:pPr>
            <w:r>
              <w:t>Self</w:t>
            </w:r>
          </w:p>
        </w:tc>
      </w:tr>
    </w:tbl>
    <w:p/>
    <w:p>
      <w:pPr>
        <w:spacing w:before="80" w:after="80"/>
        <w:pBdr>
          <w:bottom w:val="single" w:sz="6" w:space="1" w:color="DEE2E6"/>
        </w:pBdr>
      </w:pPr>
      <w:r>
        <w:br/>
      </w:r>
    </w:p>
    <w:p>
      <w:pPr>
        <w:pStyle w:val="Heading2"/>
        <w:spacing w:before="200" w:after="80"/>
      </w:pPr>
      <w:r>
        <w:rPr>
          <w:color w:val="198754"/>
        </w:rPr>
        <w:t>4. Module Specifications</w:t>
      </w:r>
    </w:p>
    <w:p>
      <w:pPr>
        <w:spacing w:before="80" w:after="80"/>
        <w:pBdr>
          <w:bottom w:val="single" w:sz="6" w:space="1" w:color="DEE2E6"/>
        </w:pBdr>
      </w:pPr>
      <w:r>
        <w:br/>
      </w:r>
    </w:p>
    <w:p>
      <w:pPr>
        <w:pStyle w:val="Heading3"/>
        <w:spacing w:before="160" w:after="80"/>
      </w:pPr>
      <w:r>
        <w:rPr>
          <w:color w:val="495257"/>
        </w:rPr>
        <w:t>4.1 Authentication Module</w:t>
      </w:r>
    </w:p>
    <w:p>
      <w:pPr>
        <w:pStyle w:val="Heading4"/>
        <w:spacing w:before="160" w:after="80"/>
      </w:pPr>
      <w:r>
        <w:rPr>
          <w:color w:val="495257"/>
        </w:rPr>
        <w:t>FR-AUTH-01: Standard Login</w:t>
      </w:r>
    </w:p>
    <w:p>
      <w:pPr>
        <w:pStyle w:val="ListBullet"/>
        <w:spacing w:before="20" w:after="20"/>
      </w:pPr>
      <w:r>
        <w:t xml:space="preserve">User submits email + password via </w:t>
      </w:r>
      <w:r>
        <w:rPr>
          <w:rFonts w:ascii="Courier New" w:hAnsi="Courier New"/>
          <w:color w:val="D63384"/>
          <w:sz w:val="18"/>
        </w:rPr>
        <w:t>POST /auth/login</w:t>
      </w:r>
      <w:r>
        <w:t>.</w:t>
      </w:r>
    </w:p>
    <w:p>
      <w:pPr>
        <w:pStyle w:val="ListBullet"/>
        <w:spacing w:before="20" w:after="20"/>
      </w:pPr>
      <w:r>
        <w:t>System validates credentials against bcrypt hash.</w:t>
      </w:r>
    </w:p>
    <w:p>
      <w:pPr>
        <w:pStyle w:val="ListBullet"/>
        <w:spacing w:before="20" w:after="20"/>
      </w:pPr>
      <w:r>
        <w:t>On success, a time-limited API token is issued with role-based scopes.</w:t>
      </w:r>
    </w:p>
    <w:p>
      <w:pPr>
        <w:pStyle w:val="ListBullet"/>
        <w:spacing w:before="20" w:after="20"/>
      </w:pPr>
      <w:r>
        <w:t xml:space="preserve">Session stores: </w:t>
      </w:r>
      <w:r>
        <w:rPr>
          <w:rFonts w:ascii="Courier New" w:hAnsi="Courier New"/>
          <w:color w:val="D63384"/>
          <w:sz w:val="18"/>
        </w:rPr>
        <w:t>api_token</w:t>
      </w:r>
      <w:r>
        <w:t xml:space="preserve">, </w:t>
      </w:r>
      <w:r>
        <w:rPr>
          <w:rFonts w:ascii="Courier New" w:hAnsi="Courier New"/>
          <w:color w:val="D63384"/>
          <w:sz w:val="18"/>
        </w:rPr>
        <w:t>user_id</w:t>
      </w:r>
      <w:r>
        <w:t xml:space="preserve">, </w:t>
      </w:r>
      <w:r>
        <w:rPr>
          <w:rFonts w:ascii="Courier New" w:hAnsi="Courier New"/>
          <w:color w:val="D63384"/>
          <w:sz w:val="18"/>
        </w:rPr>
        <w:t>user_role</w:t>
      </w:r>
      <w:r>
        <w:t xml:space="preserve">, </w:t>
      </w:r>
      <w:r>
        <w:rPr>
          <w:rFonts w:ascii="Courier New" w:hAnsi="Courier New"/>
          <w:color w:val="D63384"/>
          <w:sz w:val="18"/>
        </w:rPr>
        <w:t>user_name</w:t>
      </w:r>
      <w:r>
        <w:t>.</w:t>
      </w:r>
    </w:p>
    <w:p>
      <w:pPr>
        <w:pStyle w:val="Heading4"/>
        <w:spacing w:before="160" w:after="80"/>
      </w:pPr>
      <w:r>
        <w:rPr>
          <w:color w:val="495257"/>
        </w:rPr>
        <w:t>FR-AUTH-02: MFA Challenge Flow</w:t>
      </w:r>
    </w:p>
    <w:p>
      <w:pPr>
        <w:pStyle w:val="ListBullet"/>
        <w:spacing w:before="20" w:after="20"/>
      </w:pPr>
      <w:r>
        <w:t xml:space="preserve">If user has </w:t>
      </w:r>
      <w:r>
        <w:rPr>
          <w:rFonts w:ascii="Courier New" w:hAnsi="Courier New"/>
          <w:color w:val="D63384"/>
          <w:sz w:val="18"/>
        </w:rPr>
        <w:t>is_enabled = 1</w:t>
      </w:r>
      <w:r>
        <w:t xml:space="preserve"> in </w:t>
      </w:r>
      <w:r>
        <w:rPr>
          <w:rFonts w:ascii="Courier New" w:hAnsi="Courier New"/>
          <w:color w:val="D63384"/>
          <w:sz w:val="18"/>
        </w:rPr>
        <w:t>mfa_secrets</w:t>
      </w:r>
      <w:r>
        <w:t xml:space="preserve">, login returns </w:t>
      </w:r>
      <w:r>
        <w:rPr>
          <w:rFonts w:ascii="Courier New" w:hAnsi="Courier New"/>
          <w:color w:val="D63384"/>
          <w:sz w:val="18"/>
        </w:rPr>
        <w:t>mfa_required: true</w:t>
      </w:r>
      <w:r>
        <w:t xml:space="preserve"> + </w:t>
      </w:r>
      <w:r>
        <w:rPr>
          <w:rFonts w:ascii="Courier New" w:hAnsi="Courier New"/>
          <w:color w:val="D63384"/>
          <w:sz w:val="18"/>
        </w:rPr>
        <w:t>pending_token</w:t>
      </w:r>
      <w:r>
        <w:t>.</w:t>
      </w:r>
    </w:p>
    <w:p>
      <w:pPr>
        <w:pStyle w:val="ListBullet"/>
        <w:spacing w:before="20" w:after="20"/>
      </w:pPr>
      <w:r>
        <w:t xml:space="preserve">Frontend stores </w:t>
      </w:r>
      <w:r>
        <w:rPr>
          <w:rFonts w:ascii="Courier New" w:hAnsi="Courier New"/>
          <w:color w:val="D63384"/>
          <w:sz w:val="18"/>
        </w:rPr>
        <w:t>pending_token</w:t>
      </w:r>
      <w:r>
        <w:t xml:space="preserve"> in session and redirects to </w:t>
      </w:r>
      <w:r>
        <w:rPr>
          <w:rFonts w:ascii="Courier New" w:hAnsi="Courier New"/>
          <w:color w:val="D63384"/>
          <w:sz w:val="18"/>
        </w:rPr>
        <w:t>/auth/mfa_verify.php</w:t>
      </w:r>
      <w:r>
        <w:t>.</w:t>
      </w:r>
    </w:p>
    <w:p>
      <w:pPr>
        <w:pStyle w:val="ListBullet"/>
        <w:spacing w:before="20" w:after="20"/>
      </w:pPr>
      <w:r>
        <w:t>User enters 6-digit TOTP code (or 8-character backup code).</w:t>
      </w:r>
    </w:p>
    <w:p>
      <w:pPr>
        <w:pStyle w:val="ListBullet"/>
        <w:spacing w:before="20" w:after="20"/>
      </w:pPr>
      <w:r>
        <w:rPr>
          <w:rFonts w:ascii="Courier New" w:hAnsi="Courier New"/>
          <w:color w:val="D63384"/>
          <w:sz w:val="18"/>
        </w:rPr>
        <w:t>POST /auth/mfa/challenge</w:t>
      </w:r>
      <w:r>
        <w:t xml:space="preserve"> validates token + code; issues full API token on success.</w:t>
      </w:r>
    </w:p>
    <w:p>
      <w:pPr>
        <w:pStyle w:val="ListBullet"/>
        <w:spacing w:before="20" w:after="20"/>
      </w:pPr>
      <w:r>
        <w:t>Pending tokens expire after 10 minutes.</w:t>
      </w:r>
    </w:p>
    <w:p>
      <w:pPr>
        <w:pStyle w:val="Heading4"/>
        <w:spacing w:before="160" w:after="80"/>
      </w:pPr>
      <w:r>
        <w:rPr>
          <w:color w:val="495257"/>
        </w:rPr>
        <w:t>FR-AUTH-03: MFA Setup</w:t>
      </w:r>
    </w:p>
    <w:p>
      <w:pPr>
        <w:pStyle w:val="ListBullet"/>
        <w:spacing w:before="20" w:after="20"/>
      </w:pPr>
      <w:r>
        <w:t xml:space="preserve">Any authenticated user may set up MFA via </w:t>
      </w:r>
      <w:r>
        <w:rPr>
          <w:rFonts w:ascii="Courier New" w:hAnsi="Courier New"/>
          <w:color w:val="D63384"/>
          <w:sz w:val="18"/>
        </w:rPr>
        <w:t>/settings/account.php</w:t>
      </w:r>
      <w:r>
        <w:t>.</w:t>
      </w:r>
    </w:p>
    <w:p>
      <w:pPr>
        <w:pStyle w:val="ListBullet"/>
        <w:spacing w:before="20" w:after="20"/>
      </w:pPr>
      <w:r>
        <w:rPr>
          <w:rFonts w:ascii="Courier New" w:hAnsi="Courier New"/>
          <w:color w:val="D63384"/>
          <w:sz w:val="18"/>
        </w:rPr>
        <w:t>POST /auth/mfa/setup</w:t>
      </w:r>
      <w:r>
        <w:t xml:space="preserve"> generates an encrypted TOTP secret + 8 one-time backup codes.</w:t>
      </w:r>
    </w:p>
    <w:p>
      <w:pPr>
        <w:pStyle w:val="ListBullet"/>
        <w:spacing w:before="20" w:after="20"/>
      </w:pPr>
      <w:r>
        <w:t>User scans QR code in authenticator app and confirms with first TOTP code.</w:t>
      </w:r>
    </w:p>
    <w:p>
      <w:pPr>
        <w:pStyle w:val="ListBullet"/>
        <w:spacing w:before="20" w:after="20"/>
      </w:pPr>
      <w:r>
        <w:rPr>
          <w:rFonts w:ascii="Courier New" w:hAnsi="Courier New"/>
          <w:color w:val="D63384"/>
          <w:sz w:val="18"/>
        </w:rPr>
        <w:t>POST /auth/mfa/confirm</w:t>
      </w:r>
      <w:r>
        <w:t xml:space="preserve"> enables MFA by setting </w:t>
      </w:r>
      <w:r>
        <w:rPr>
          <w:rFonts w:ascii="Courier New" w:hAnsi="Courier New"/>
          <w:color w:val="D63384"/>
          <w:sz w:val="18"/>
        </w:rPr>
        <w:t>is_enabled = 1</w:t>
      </w:r>
      <w:r>
        <w:t>.</w:t>
      </w:r>
    </w:p>
    <w:p>
      <w:pPr>
        <w:pStyle w:val="Heading4"/>
        <w:spacing w:before="160" w:after="80"/>
      </w:pPr>
      <w:r>
        <w:rPr>
          <w:color w:val="495257"/>
        </w:rPr>
        <w:t>FR-AUTH-04: Password Change</w:t>
      </w:r>
    </w:p>
    <w:p>
      <w:pPr>
        <w:pStyle w:val="ListBullet"/>
        <w:spacing w:before="20" w:after="20"/>
      </w:pPr>
      <w:r>
        <w:t xml:space="preserve">Users change password via </w:t>
      </w:r>
      <w:r>
        <w:rPr>
          <w:rFonts w:ascii="Courier New" w:hAnsi="Courier New"/>
          <w:color w:val="D63384"/>
          <w:sz w:val="18"/>
        </w:rPr>
        <w:t>PATCH /users/{id}/password</w:t>
      </w:r>
      <w:r>
        <w:t xml:space="preserve"> with </w:t>
      </w:r>
      <w:r>
        <w:rPr>
          <w:rFonts w:ascii="Courier New" w:hAnsi="Courier New"/>
          <w:color w:val="D63384"/>
          <w:sz w:val="18"/>
        </w:rPr>
        <w:t>current_password</w:t>
      </w:r>
      <w:r>
        <w:t xml:space="preserve"> + </w:t>
      </w:r>
      <w:r>
        <w:rPr>
          <w:rFonts w:ascii="Courier New" w:hAnsi="Courier New"/>
          <w:color w:val="D63384"/>
          <w:sz w:val="18"/>
        </w:rPr>
        <w:t>new_password</w:t>
      </w:r>
      <w:r>
        <w:t xml:space="preserve"> fields.</w:t>
      </w:r>
    </w:p>
    <w:p>
      <w:pPr>
        <w:pStyle w:val="ListBullet"/>
        <w:spacing w:before="20" w:after="20"/>
      </w:pPr>
      <w:r>
        <w:t>New password must be ≥ 8 characters.</w:t>
      </w:r>
    </w:p>
    <w:p>
      <w:pPr>
        <w:pStyle w:val="Heading4"/>
        <w:spacing w:before="160" w:after="80"/>
      </w:pPr>
      <w:r>
        <w:rPr>
          <w:color w:val="495257"/>
        </w:rPr>
        <w:t>FR-AUTH-05: Token Revocation</w:t>
      </w:r>
    </w:p>
    <w:p>
      <w:pPr>
        <w:pStyle w:val="ListBullet"/>
        <w:spacing w:before="20" w:after="20"/>
      </w:pPr>
      <w:r>
        <w:t>All tokens for a user are revoked when: password is changed, MFA is disabled, account is suspended, or anonymization is performed.</w:t>
      </w:r>
    </w:p>
    <w:p>
      <w:pPr>
        <w:spacing w:before="80" w:after="80"/>
        <w:pBdr>
          <w:bottom w:val="single" w:sz="6" w:space="1" w:color="DEE2E6"/>
        </w:pBdr>
      </w:pPr>
      <w:r>
        <w:br/>
      </w:r>
    </w:p>
    <w:p>
      <w:pPr>
        <w:pStyle w:val="Heading3"/>
        <w:spacing w:before="160" w:after="80"/>
      </w:pPr>
      <w:r>
        <w:rPr>
          <w:color w:val="495257"/>
        </w:rPr>
        <w:t>4.2 Property Management Module</w:t>
      </w:r>
    </w:p>
    <w:p>
      <w:pPr>
        <w:pStyle w:val="Heading4"/>
        <w:spacing w:before="160" w:after="80"/>
      </w:pPr>
      <w:r>
        <w:rPr>
          <w:color w:val="495257"/>
        </w:rPr>
        <w:t>FR-PROP-01: Property CRUD</w:t>
      </w:r>
    </w:p>
    <w:p>
      <w:pPr>
        <w:pStyle w:val="ListBullet"/>
        <w:spacing w:before="20" w:after="20"/>
      </w:pPr>
      <w:r>
        <w:t>Admin/Manager can create, read, update, delete properties.</w:t>
      </w:r>
    </w:p>
    <w:p>
      <w:pPr>
        <w:pStyle w:val="ListBullet"/>
        <w:spacing w:before="20" w:after="20"/>
      </w:pPr>
      <w:r>
        <w:t>Fields: name, type, address (line1, line2, city, county, country), total_units, year_built, landlord_id, manager_id, description, amenities, image, status.</w:t>
      </w:r>
    </w:p>
    <w:p>
      <w:pPr>
        <w:pStyle w:val="ListBullet"/>
        <w:spacing w:before="20" w:after="20"/>
      </w:pPr>
      <w:r>
        <w:t xml:space="preserve">Status transitions: </w:t>
      </w:r>
      <w:r>
        <w:rPr>
          <w:rFonts w:ascii="Courier New" w:hAnsi="Courier New"/>
          <w:color w:val="D63384"/>
          <w:sz w:val="18"/>
        </w:rPr>
        <w:t>active</w:t>
      </w:r>
      <w:r>
        <w:t xml:space="preserve"> → </w:t>
      </w:r>
      <w:r>
        <w:rPr>
          <w:rFonts w:ascii="Courier New" w:hAnsi="Courier New"/>
          <w:color w:val="D63384"/>
          <w:sz w:val="18"/>
        </w:rPr>
        <w:t>inactive</w:t>
      </w:r>
      <w:r>
        <w:t xml:space="preserve"> → </w:t>
      </w:r>
      <w:r>
        <w:rPr>
          <w:rFonts w:ascii="Courier New" w:hAnsi="Courier New"/>
          <w:color w:val="D63384"/>
          <w:sz w:val="18"/>
        </w:rPr>
        <w:t>deleted</w:t>
      </w:r>
      <w:r>
        <w:t>.</w:t>
      </w:r>
    </w:p>
    <w:p>
      <w:pPr>
        <w:pStyle w:val="Heading4"/>
        <w:spacing w:before="160" w:after="80"/>
      </w:pPr>
      <w:r>
        <w:rPr>
          <w:color w:val="495257"/>
        </w:rPr>
        <w:t>FR-PROP-02: Unit CRUD</w:t>
      </w:r>
    </w:p>
    <w:p>
      <w:pPr>
        <w:pStyle w:val="ListBullet"/>
        <w:spacing w:before="20" w:after="20"/>
      </w:pPr>
      <w:r>
        <w:t>Each property contains units with: unit_number, type, floor, block, bedrooms, bathrooms, size_sqft, rent_amount, deposit_amount, furnished, water_included, electricity_included, utility_charge, status.</w:t>
      </w:r>
    </w:p>
    <w:p>
      <w:pPr>
        <w:pStyle w:val="ListBullet"/>
        <w:spacing w:before="20" w:after="20"/>
      </w:pPr>
      <w:r>
        <w:t xml:space="preserve">Unit status: </w:t>
      </w:r>
      <w:r>
        <w:rPr>
          <w:rFonts w:ascii="Courier New" w:hAnsi="Courier New"/>
          <w:color w:val="D63384"/>
          <w:sz w:val="18"/>
        </w:rPr>
        <w:t>available</w:t>
      </w:r>
      <w:r>
        <w:t xml:space="preserve">, </w:t>
      </w:r>
      <w:r>
        <w:rPr>
          <w:rFonts w:ascii="Courier New" w:hAnsi="Courier New"/>
          <w:color w:val="D63384"/>
          <w:sz w:val="18"/>
        </w:rPr>
        <w:t>occupied</w:t>
      </w:r>
      <w:r>
        <w:t xml:space="preserve">, </w:t>
      </w:r>
      <w:r>
        <w:rPr>
          <w:rFonts w:ascii="Courier New" w:hAnsi="Courier New"/>
          <w:color w:val="D63384"/>
          <w:sz w:val="18"/>
        </w:rPr>
        <w:t>maintenance</w:t>
      </w:r>
      <w:r>
        <w:t xml:space="preserve">, </w:t>
      </w:r>
      <w:r>
        <w:rPr>
          <w:rFonts w:ascii="Courier New" w:hAnsi="Courier New"/>
          <w:color w:val="D63384"/>
          <w:sz w:val="18"/>
        </w:rPr>
        <w:t>inactive</w:t>
      </w:r>
      <w:r>
        <w:t xml:space="preserve">, </w:t>
      </w:r>
      <w:r>
        <w:rPr>
          <w:rFonts w:ascii="Courier New" w:hAnsi="Courier New"/>
          <w:color w:val="D63384"/>
          <w:sz w:val="18"/>
        </w:rPr>
        <w:t>reserved</w:t>
      </w:r>
      <w:r>
        <w:t>.</w:t>
      </w:r>
    </w:p>
    <w:p>
      <w:pPr>
        <w:pStyle w:val="ListBullet"/>
        <w:spacing w:before="20" w:after="20"/>
      </w:pPr>
      <w:r>
        <w:t>Unit occupancy status updates automatically when a lease becomes active or terminates.</w:t>
      </w:r>
    </w:p>
    <w:p>
      <w:pPr>
        <w:pStyle w:val="Heading4"/>
        <w:spacing w:before="160" w:after="80"/>
      </w:pPr>
      <w:r>
        <w:rPr>
          <w:color w:val="495257"/>
        </w:rPr>
        <w:t>FR-PROP-03: Property Image Upload</w:t>
      </w:r>
    </w:p>
    <w:p>
      <w:pPr>
        <w:pStyle w:val="ListBullet"/>
        <w:spacing w:before="20" w:after="20"/>
      </w:pPr>
      <w:r>
        <w:t xml:space="preserve">Property images uploaded via </w:t>
      </w:r>
      <w:r>
        <w:rPr>
          <w:rFonts w:ascii="Courier New" w:hAnsi="Courier New"/>
          <w:color w:val="D63384"/>
          <w:sz w:val="18"/>
        </w:rPr>
        <w:t>POST /properties/{id}/image</w:t>
      </w:r>
      <w:r>
        <w:t xml:space="preserve"> (multipart/form-data).</w:t>
      </w:r>
    </w:p>
    <w:p>
      <w:pPr>
        <w:pStyle w:val="ListBullet"/>
        <w:spacing w:before="20" w:after="20"/>
      </w:pPr>
      <w:r>
        <w:t xml:space="preserve">Stored in </w:t>
      </w:r>
      <w:r>
        <w:rPr>
          <w:rFonts w:ascii="Courier New" w:hAnsi="Courier New"/>
          <w:color w:val="D63384"/>
          <w:sz w:val="18"/>
        </w:rPr>
        <w:t>/storage/images/properties/</w:t>
      </w:r>
      <w:r>
        <w:t>.</w:t>
      </w:r>
    </w:p>
    <w:p>
      <w:pPr>
        <w:spacing w:before="80" w:after="80"/>
        <w:pBdr>
          <w:bottom w:val="single" w:sz="6" w:space="1" w:color="DEE2E6"/>
        </w:pBdr>
      </w:pPr>
      <w:r>
        <w:br/>
      </w:r>
    </w:p>
    <w:p>
      <w:pPr>
        <w:pStyle w:val="Heading3"/>
        <w:spacing w:before="160" w:after="80"/>
      </w:pPr>
      <w:r>
        <w:rPr>
          <w:color w:val="495257"/>
        </w:rPr>
        <w:t>4.3 Tenant Management Module</w:t>
      </w:r>
    </w:p>
    <w:p>
      <w:pPr>
        <w:pStyle w:val="Heading4"/>
        <w:spacing w:before="160" w:after="80"/>
      </w:pPr>
      <w:r>
        <w:rPr>
          <w:color w:val="495257"/>
        </w:rPr>
        <w:t>FR-TEN-01: Tenant Profile</w:t>
      </w:r>
    </w:p>
    <w:p>
      <w:pPr>
        <w:pStyle w:val="ListBullet"/>
        <w:spacing w:before="20" w:after="20"/>
      </w:pPr>
      <w:r>
        <w:t>Profile fields: first_name, last_name, email, phone, id_number, id_type, dob, gender, nationality, emergency contacts, next of kin, occupation, employer, monthly_income, notes, status.</w:t>
      </w:r>
    </w:p>
    <w:p>
      <w:pPr>
        <w:pStyle w:val="ListBullet"/>
        <w:spacing w:before="20" w:after="20"/>
      </w:pPr>
      <w:r>
        <w:t>All PII fields encrypted at rest using AES-256-GCM (</w:t>
      </w:r>
      <w:r>
        <w:rPr>
          <w:rFonts w:ascii="Courier New" w:hAnsi="Courier New"/>
          <w:color w:val="D63384"/>
          <w:sz w:val="18"/>
        </w:rPr>
        <w:t>enc1:</w:t>
      </w:r>
      <w:r>
        <w:t xml:space="preserve"> prefix).</w:t>
      </w:r>
    </w:p>
    <w:p>
      <w:pPr>
        <w:pStyle w:val="ListBullet"/>
        <w:spacing w:before="20" w:after="20"/>
      </w:pPr>
      <w:r>
        <w:rPr>
          <w:rFonts w:ascii="Courier New" w:hAnsi="Courier New"/>
          <w:color w:val="D63384"/>
          <w:sz w:val="18"/>
        </w:rPr>
        <w:t>id_number_hash</w:t>
      </w:r>
      <w:r>
        <w:t xml:space="preserve"> stores SHA-256 of the normalised ID for uniqueness enforcement.</w:t>
      </w:r>
    </w:p>
    <w:p>
      <w:pPr>
        <w:pStyle w:val="Heading4"/>
        <w:spacing w:before="160" w:after="80"/>
      </w:pPr>
      <w:r>
        <w:rPr>
          <w:color w:val="495257"/>
        </w:rPr>
        <w:t>FR-TEN-02: Tenant User Account</w:t>
      </w:r>
    </w:p>
    <w:p>
      <w:pPr>
        <w:pStyle w:val="ListBullet"/>
        <w:spacing w:before="20" w:after="20"/>
      </w:pPr>
      <w:r>
        <w:t xml:space="preserve">Optionally linked to a system user account (role: </w:t>
      </w:r>
      <w:r>
        <w:rPr>
          <w:rFonts w:ascii="Courier New" w:hAnsi="Courier New"/>
          <w:color w:val="D63384"/>
          <w:sz w:val="18"/>
        </w:rPr>
        <w:t>tenant</w:t>
      </w:r>
      <w:r>
        <w:t>).</w:t>
      </w:r>
    </w:p>
    <w:p>
      <w:pPr>
        <w:pStyle w:val="ListBullet"/>
        <w:spacing w:before="20" w:after="20"/>
      </w:pPr>
      <w:r>
        <w:t xml:space="preserve">Account created via </w:t>
      </w:r>
      <w:r>
        <w:rPr>
          <w:rFonts w:ascii="Courier New" w:hAnsi="Courier New"/>
          <w:color w:val="D63384"/>
          <w:sz w:val="18"/>
        </w:rPr>
        <w:t>POST /tenants/{id}/create-account</w:t>
      </w:r>
      <w:r>
        <w:t>.</w:t>
      </w:r>
    </w:p>
    <w:p>
      <w:pPr>
        <w:pStyle w:val="Heading4"/>
        <w:spacing w:before="160" w:after="80"/>
      </w:pPr>
      <w:r>
        <w:rPr>
          <w:color w:val="495257"/>
        </w:rPr>
        <w:t>FR-TEN-03: KYC Documents</w:t>
      </w:r>
    </w:p>
    <w:p>
      <w:pPr>
        <w:pStyle w:val="ListBullet"/>
        <w:spacing w:before="20" w:after="20"/>
      </w:pPr>
      <w:r>
        <w:t>Tenant may have multiple KYC documents (national ID scan, passport, employment letter, payslip).</w:t>
      </w:r>
    </w:p>
    <w:p>
      <w:pPr>
        <w:pStyle w:val="ListBullet"/>
        <w:spacing w:before="20" w:after="20"/>
      </w:pPr>
      <w:r>
        <w:t xml:space="preserve">Uploaded via </w:t>
      </w:r>
      <w:r>
        <w:rPr>
          <w:rFonts w:ascii="Courier New" w:hAnsi="Courier New"/>
          <w:color w:val="D63384"/>
          <w:sz w:val="18"/>
        </w:rPr>
        <w:t>POST /tenants/{id}/kyc</w:t>
      </w:r>
      <w:r>
        <w:t>.</w:t>
      </w:r>
    </w:p>
    <w:p>
      <w:pPr>
        <w:pStyle w:val="ListBullet"/>
        <w:spacing w:before="20" w:after="20"/>
      </w:pPr>
      <w:r>
        <w:t xml:space="preserve">Stored in </w:t>
      </w:r>
      <w:r>
        <w:rPr>
          <w:rFonts w:ascii="Courier New" w:hAnsi="Courier New"/>
          <w:color w:val="D63384"/>
          <w:sz w:val="18"/>
        </w:rPr>
        <w:t>/storage/kyc/</w:t>
      </w:r>
      <w:r>
        <w:t>.</w:t>
      </w:r>
    </w:p>
    <w:p>
      <w:pPr>
        <w:pStyle w:val="Heading4"/>
        <w:spacing w:before="160" w:after="80"/>
      </w:pPr>
      <w:r>
        <w:rPr>
          <w:color w:val="495257"/>
        </w:rPr>
        <w:t>FR-TEN-04: Tenant Status</w:t>
      </w:r>
    </w:p>
    <w:p>
      <w:pPr>
        <w:pStyle w:val="ListBullet"/>
        <w:spacing w:before="20" w:after="20"/>
      </w:pPr>
      <w:r>
        <w:t xml:space="preserve">Status values: </w:t>
      </w:r>
      <w:r>
        <w:rPr>
          <w:rFonts w:ascii="Courier New" w:hAnsi="Courier New"/>
          <w:color w:val="D63384"/>
          <w:sz w:val="18"/>
        </w:rPr>
        <w:t>active</w:t>
      </w:r>
      <w:r>
        <w:t xml:space="preserve">, </w:t>
      </w:r>
      <w:r>
        <w:rPr>
          <w:rFonts w:ascii="Courier New" w:hAnsi="Courier New"/>
          <w:color w:val="D63384"/>
          <w:sz w:val="18"/>
        </w:rPr>
        <w:t>inactive</w:t>
      </w:r>
      <w:r>
        <w:t xml:space="preserve">, </w:t>
      </w:r>
      <w:r>
        <w:rPr>
          <w:rFonts w:ascii="Courier New" w:hAnsi="Courier New"/>
          <w:color w:val="D63384"/>
          <w:sz w:val="18"/>
        </w:rPr>
        <w:t>blacklisted</w:t>
      </w:r>
      <w:r>
        <w:t>.</w:t>
      </w:r>
    </w:p>
    <w:p>
      <w:pPr>
        <w:pStyle w:val="ListBullet"/>
        <w:spacing w:before="20" w:after="20"/>
      </w:pPr>
      <w:r>
        <w:t>Blacklisted tenants cannot be assigned new leases.</w:t>
      </w:r>
    </w:p>
    <w:p>
      <w:pPr>
        <w:spacing w:before="80" w:after="80"/>
        <w:pBdr>
          <w:bottom w:val="single" w:sz="6" w:space="1" w:color="DEE2E6"/>
        </w:pBdr>
      </w:pPr>
      <w:r>
        <w:br/>
      </w:r>
    </w:p>
    <w:p>
      <w:pPr>
        <w:pStyle w:val="Heading3"/>
        <w:spacing w:before="160" w:after="80"/>
      </w:pPr>
      <w:r>
        <w:rPr>
          <w:color w:val="495257"/>
        </w:rPr>
        <w:t>4.4 Lease Management Module</w:t>
      </w:r>
    </w:p>
    <w:p>
      <w:pPr>
        <w:pStyle w:val="Heading4"/>
        <w:spacing w:before="160" w:after="80"/>
      </w:pPr>
      <w:r>
        <w:rPr>
          <w:color w:val="495257"/>
        </w:rPr>
        <w:t>FR-LEASE-01: Lease Creation</w:t>
      </w:r>
    </w:p>
    <w:p>
      <w:pPr>
        <w:pStyle w:val="ListBullet"/>
        <w:spacing w:before="20" w:after="20"/>
      </w:pPr>
      <w:r>
        <w:t>Lease fields: lease_number (auto), type, unit, tenant, start_date, end_date, monthly_rent, deposit_amount, payment_day, grace_period_days, penalty_rate, notice_period_days, escalation config, signed_at, signed_by.</w:t>
      </w:r>
    </w:p>
    <w:p>
      <w:pPr>
        <w:pStyle w:val="ListBullet"/>
        <w:spacing w:before="20" w:after="20"/>
      </w:pPr>
      <w:r>
        <w:t xml:space="preserve">Unit status changes to </w:t>
      </w:r>
      <w:r>
        <w:rPr>
          <w:rFonts w:ascii="Courier New" w:hAnsi="Courier New"/>
          <w:color w:val="D63384"/>
          <w:sz w:val="18"/>
        </w:rPr>
        <w:t>occupied</w:t>
      </w:r>
      <w:r>
        <w:t xml:space="preserve"> on lease activation.</w:t>
      </w:r>
    </w:p>
    <w:p>
      <w:pPr>
        <w:pStyle w:val="ListBullet"/>
        <w:spacing w:before="20" w:after="20"/>
      </w:pPr>
      <w:r>
        <w:t>One active lease per unit enforced at the API level.</w:t>
      </w:r>
    </w:p>
    <w:p>
      <w:pPr>
        <w:pStyle w:val="Heading4"/>
        <w:spacing w:before="160" w:after="80"/>
      </w:pPr>
      <w:r>
        <w:rPr>
          <w:color w:val="495257"/>
        </w:rPr>
        <w:t>FR-LEASE-02: Lease Templates</w:t>
      </w:r>
    </w:p>
    <w:p>
      <w:pPr>
        <w:pStyle w:val="ListBullet"/>
        <w:spacing w:before="20" w:after="20"/>
      </w:pPr>
      <w:r>
        <w:t xml:space="preserve">Reusable templates with variable placeholders: </w:t>
      </w:r>
      <w:r>
        <w:rPr>
          <w:rFonts w:ascii="Courier New" w:hAnsi="Courier New"/>
          <w:color w:val="D63384"/>
          <w:sz w:val="18"/>
        </w:rPr>
        <w:t>{{TENANT_NAME}}</w:t>
      </w:r>
      <w:r>
        <w:t xml:space="preserve">, </w:t>
      </w:r>
      <w:r>
        <w:rPr>
          <w:rFonts w:ascii="Courier New" w:hAnsi="Courier New"/>
          <w:color w:val="D63384"/>
          <w:sz w:val="18"/>
        </w:rPr>
        <w:t>{{UNIT_NUMBER}}</w:t>
      </w:r>
      <w:r>
        <w:t xml:space="preserve">, </w:t>
      </w:r>
      <w:r>
        <w:rPr>
          <w:rFonts w:ascii="Courier New" w:hAnsi="Courier New"/>
          <w:color w:val="D63384"/>
          <w:sz w:val="18"/>
        </w:rPr>
        <w:t>{{MONTHLY_RENT}}</w:t>
      </w:r>
      <w:r>
        <w:t xml:space="preserve">, </w:t>
      </w:r>
      <w:r>
        <w:rPr>
          <w:rFonts w:ascii="Courier New" w:hAnsi="Courier New"/>
          <w:color w:val="D63384"/>
          <w:sz w:val="18"/>
        </w:rPr>
        <w:t>{{START_DATE}}</w:t>
      </w:r>
      <w:r>
        <w:t xml:space="preserve">, </w:t>
      </w:r>
      <w:r>
        <w:rPr>
          <w:rFonts w:ascii="Courier New" w:hAnsi="Courier New"/>
          <w:color w:val="D63384"/>
          <w:sz w:val="18"/>
        </w:rPr>
        <w:t>{{END_DATE}}</w:t>
      </w:r>
      <w:r>
        <w:t>.</w:t>
      </w:r>
    </w:p>
    <w:p>
      <w:pPr>
        <w:pStyle w:val="ListBullet"/>
        <w:spacing w:before="20" w:after="20"/>
      </w:pPr>
      <w:r>
        <w:t>Templates scoped to lease type (fixed-term, periodic, commercial, furnished).</w:t>
      </w:r>
    </w:p>
    <w:p>
      <w:pPr>
        <w:pStyle w:val="Heading4"/>
        <w:spacing w:before="160" w:after="80"/>
      </w:pPr>
      <w:r>
        <w:rPr>
          <w:color w:val="495257"/>
        </w:rPr>
        <w:t>FR-LEASE-03: Rent Escalation</w:t>
      </w:r>
    </w:p>
    <w:p>
      <w:pPr>
        <w:pStyle w:val="ListBullet"/>
        <w:spacing w:before="20" w:after="20"/>
      </w:pPr>
      <w:r>
        <w:t xml:space="preserve">Types: </w:t>
      </w:r>
      <w:r>
        <w:rPr>
          <w:rFonts w:ascii="Courier New" w:hAnsi="Courier New"/>
          <w:color w:val="D63384"/>
          <w:sz w:val="18"/>
        </w:rPr>
        <w:t>none</w:t>
      </w:r>
      <w:r>
        <w:t xml:space="preserve">, </w:t>
      </w:r>
      <w:r>
        <w:rPr>
          <w:rFonts w:ascii="Courier New" w:hAnsi="Courier New"/>
          <w:color w:val="D63384"/>
          <w:sz w:val="18"/>
        </w:rPr>
        <w:t>fixed</w:t>
      </w:r>
      <w:r>
        <w:t xml:space="preserve"> (absolute KES amount), </w:t>
      </w:r>
      <w:r>
        <w:rPr>
          <w:rFonts w:ascii="Courier New" w:hAnsi="Courier New"/>
          <w:color w:val="D63384"/>
          <w:sz w:val="18"/>
        </w:rPr>
        <w:t>percentage</w:t>
      </w:r>
      <w:r>
        <w:t>.</w:t>
      </w:r>
    </w:p>
    <w:p>
      <w:pPr>
        <w:pStyle w:val="ListBullet"/>
        <w:spacing w:before="20" w:after="20"/>
      </w:pPr>
      <w:r>
        <w:t xml:space="preserve">Frequencies: </w:t>
      </w:r>
      <w:r>
        <w:rPr>
          <w:rFonts w:ascii="Courier New" w:hAnsi="Courier New"/>
          <w:color w:val="D63384"/>
          <w:sz w:val="18"/>
        </w:rPr>
        <w:t>annually</w:t>
      </w:r>
      <w:r>
        <w:t xml:space="preserve">, </w:t>
      </w:r>
      <w:r>
        <w:rPr>
          <w:rFonts w:ascii="Courier New" w:hAnsi="Courier New"/>
          <w:color w:val="D63384"/>
          <w:sz w:val="18"/>
        </w:rPr>
        <w:t>biannually</w:t>
      </w:r>
      <w:r>
        <w:t xml:space="preserve">, </w:t>
      </w:r>
      <w:r>
        <w:rPr>
          <w:rFonts w:ascii="Courier New" w:hAnsi="Courier New"/>
          <w:color w:val="D63384"/>
          <w:sz w:val="18"/>
        </w:rPr>
        <w:t>quarterly</w:t>
      </w:r>
      <w:r>
        <w:t>.</w:t>
      </w:r>
    </w:p>
    <w:p>
      <w:pPr>
        <w:pStyle w:val="ListBullet"/>
        <w:spacing w:before="20" w:after="20"/>
      </w:pPr>
      <w:r>
        <w:rPr>
          <w:rFonts w:ascii="Courier New" w:hAnsi="Courier New"/>
          <w:color w:val="D63384"/>
          <w:sz w:val="18"/>
        </w:rPr>
        <w:t>next_escalation_date</w:t>
      </w:r>
      <w:r>
        <w:t xml:space="preserve"> recalculates monthly_rent when reached.</w:t>
      </w:r>
    </w:p>
    <w:p>
      <w:pPr>
        <w:pStyle w:val="Heading4"/>
        <w:spacing w:before="160" w:after="80"/>
      </w:pPr>
      <w:r>
        <w:rPr>
          <w:color w:val="495257"/>
        </w:rPr>
        <w:t>FR-LEASE-04: Lease Renewal</w:t>
      </w:r>
    </w:p>
    <w:p>
      <w:pPr>
        <w:pStyle w:val="ListBullet"/>
        <w:spacing w:before="20" w:after="20"/>
      </w:pPr>
      <w:r>
        <w:t xml:space="preserve">Renewal generates a </w:t>
      </w:r>
      <w:r>
        <w:rPr>
          <w:rFonts w:ascii="Courier New" w:hAnsi="Courier New"/>
          <w:color w:val="D63384"/>
          <w:sz w:val="18"/>
        </w:rPr>
        <w:t>lease_renewals</w:t>
      </w:r>
      <w:r>
        <w:t xml:space="preserve"> record with old and new terms.</w:t>
      </w:r>
    </w:p>
    <w:p>
      <w:pPr>
        <w:pStyle w:val="ListBullet"/>
        <w:spacing w:before="20" w:after="20"/>
      </w:pPr>
      <w:r>
        <w:t xml:space="preserve">Status workflow: </w:t>
      </w:r>
      <w:r>
        <w:rPr>
          <w:rFonts w:ascii="Courier New" w:hAnsi="Courier New"/>
          <w:color w:val="D63384"/>
          <w:sz w:val="18"/>
        </w:rPr>
        <w:t>pending</w:t>
      </w:r>
      <w:r>
        <w:t xml:space="preserve"> → </w:t>
      </w:r>
      <w:r>
        <w:rPr>
          <w:rFonts w:ascii="Courier New" w:hAnsi="Courier New"/>
          <w:color w:val="D63384"/>
          <w:sz w:val="18"/>
        </w:rPr>
        <w:t>approved</w:t>
      </w:r>
      <w:r>
        <w:t>/</w:t>
      </w:r>
      <w:r>
        <w:rPr>
          <w:rFonts w:ascii="Courier New" w:hAnsi="Courier New"/>
          <w:color w:val="D63384"/>
          <w:sz w:val="18"/>
        </w:rPr>
        <w:t>rejected</w:t>
      </w:r>
      <w:r>
        <w:t>.</w:t>
      </w:r>
    </w:p>
    <w:p>
      <w:pPr>
        <w:pStyle w:val="ListBullet"/>
        <w:spacing w:before="20" w:after="20"/>
      </w:pPr>
      <w:r>
        <w:t xml:space="preserve">On approval, a new lease is created with </w:t>
      </w:r>
      <w:r>
        <w:rPr>
          <w:rFonts w:ascii="Courier New" w:hAnsi="Courier New"/>
          <w:color w:val="D63384"/>
          <w:sz w:val="18"/>
        </w:rPr>
        <w:t>renewed_from_id</w:t>
      </w:r>
      <w:r>
        <w:t xml:space="preserve"> pointing to the original.</w:t>
      </w:r>
    </w:p>
    <w:p>
      <w:pPr>
        <w:pStyle w:val="Heading4"/>
        <w:spacing w:before="160" w:after="80"/>
      </w:pPr>
      <w:r>
        <w:rPr>
          <w:color w:val="495257"/>
        </w:rPr>
        <w:t>FR-LEASE-05: Lease Termination</w:t>
      </w:r>
    </w:p>
    <w:p>
      <w:pPr>
        <w:pStyle w:val="ListBullet"/>
        <w:spacing w:before="20" w:after="20"/>
      </w:pPr>
      <w:r>
        <w:t xml:space="preserve">Admin/Manager can terminate a lease with </w:t>
      </w:r>
      <w:r>
        <w:rPr>
          <w:rFonts w:ascii="Courier New" w:hAnsi="Courier New"/>
          <w:color w:val="D63384"/>
          <w:sz w:val="18"/>
        </w:rPr>
        <w:t>termination_reason</w:t>
      </w:r>
      <w:r>
        <w:t xml:space="preserve"> and </w:t>
      </w:r>
      <w:r>
        <w:rPr>
          <w:rFonts w:ascii="Courier New" w:hAnsi="Courier New"/>
          <w:color w:val="D63384"/>
          <w:sz w:val="18"/>
        </w:rPr>
        <w:t>terminated_at</w:t>
      </w:r>
      <w:r>
        <w:t>.</w:t>
      </w:r>
    </w:p>
    <w:p>
      <w:pPr>
        <w:pStyle w:val="ListBullet"/>
        <w:spacing w:before="20" w:after="20"/>
      </w:pPr>
      <w:r>
        <w:t xml:space="preserve">Unit status reverts to </w:t>
      </w:r>
      <w:r>
        <w:rPr>
          <w:rFonts w:ascii="Courier New" w:hAnsi="Courier New"/>
          <w:color w:val="D63384"/>
          <w:sz w:val="18"/>
        </w:rPr>
        <w:t>available</w:t>
      </w:r>
      <w:r>
        <w:t xml:space="preserve"> on termination.</w:t>
      </w:r>
    </w:p>
    <w:p>
      <w:pPr>
        <w:pStyle w:val="ListBullet"/>
        <w:spacing w:before="20" w:after="20"/>
      </w:pPr>
      <w:r>
        <w:t>Outstanding invoices remain due; no new invoices generated.</w:t>
      </w:r>
    </w:p>
    <w:p>
      <w:pPr>
        <w:spacing w:before="80" w:after="80"/>
        <w:pBdr>
          <w:bottom w:val="single" w:sz="6" w:space="1" w:color="DEE2E6"/>
        </w:pBdr>
      </w:pPr>
      <w:r>
        <w:br/>
      </w:r>
    </w:p>
    <w:p>
      <w:pPr>
        <w:pStyle w:val="Heading3"/>
        <w:spacing w:before="160" w:after="80"/>
      </w:pPr>
      <w:r>
        <w:rPr>
          <w:color w:val="495257"/>
        </w:rPr>
        <w:t>4.5 Billing Module</w:t>
      </w:r>
    </w:p>
    <w:p>
      <w:pPr>
        <w:pStyle w:val="Heading4"/>
        <w:spacing w:before="160" w:after="80"/>
      </w:pPr>
      <w:r>
        <w:rPr>
          <w:color w:val="495257"/>
        </w:rPr>
        <w:t>FR-BILL-01: Invoice Generation</w:t>
      </w:r>
    </w:p>
    <w:p>
      <w:pPr>
        <w:pStyle w:val="ListBullet"/>
        <w:spacing w:before="20" w:after="20"/>
      </w:pPr>
      <w:r>
        <w:t xml:space="preserve">Invoices generated monthly for each active lease on its </w:t>
      </w:r>
      <w:r>
        <w:rPr>
          <w:rFonts w:ascii="Courier New" w:hAnsi="Courier New"/>
          <w:color w:val="D63384"/>
          <w:sz w:val="18"/>
        </w:rPr>
        <w:t>payment_day</w:t>
      </w:r>
      <w:r>
        <w:t>.</w:t>
      </w:r>
    </w:p>
    <w:p>
      <w:pPr>
        <w:pStyle w:val="ListBullet"/>
        <w:spacing w:before="20" w:after="20"/>
      </w:pPr>
      <w:r>
        <w:t>Invoice fields: invoice_number (auto), lease_id, tenant_id, invoice_date, due_date, rent_amount, utility_amount, penalty_amount, discount_amount, total_amount, amount_paid, period_month, period_year.</w:t>
      </w:r>
    </w:p>
    <w:p>
      <w:pPr>
        <w:pStyle w:val="ListBullet"/>
        <w:spacing w:before="20" w:after="20"/>
      </w:pPr>
      <w:r>
        <w:t>Duplicate prevention: only one invoice per lease per period.</w:t>
      </w:r>
    </w:p>
    <w:p>
      <w:pPr>
        <w:pStyle w:val="Heading4"/>
        <w:spacing w:before="160" w:after="80"/>
      </w:pPr>
      <w:r>
        <w:rPr>
          <w:color w:val="495257"/>
        </w:rPr>
        <w:t>FR-BILL-02: Penalty Application</w:t>
      </w:r>
    </w:p>
    <w:p>
      <w:pPr>
        <w:pStyle w:val="ListBullet"/>
        <w:spacing w:before="20" w:after="20"/>
      </w:pPr>
      <w:r>
        <w:t xml:space="preserve">Penalty = </w:t>
      </w:r>
      <w:r>
        <w:rPr>
          <w:rFonts w:ascii="Courier New" w:hAnsi="Courier New"/>
          <w:color w:val="D63384"/>
          <w:sz w:val="18"/>
        </w:rPr>
        <w:t>monthly_rent × penalty_rate / 100</w:t>
      </w:r>
      <w:r>
        <w:t xml:space="preserve"> per day after grace period.</w:t>
      </w:r>
    </w:p>
    <w:p>
      <w:pPr>
        <w:pStyle w:val="ListBullet"/>
        <w:spacing w:before="20" w:after="20"/>
      </w:pPr>
      <w:r>
        <w:t>Applied to the next invoice or as a standalone penalty invoice.</w:t>
      </w:r>
    </w:p>
    <w:p>
      <w:pPr>
        <w:pStyle w:val="Heading4"/>
        <w:spacing w:before="160" w:after="80"/>
      </w:pPr>
      <w:r>
        <w:rPr>
          <w:color w:val="495257"/>
        </w:rPr>
        <w:t>FR-BILL-03: Invoice Status Machine</w:t>
      </w:r>
    </w:p>
    <w:tbl>
      <w:tblPr>
        <w:tblStyle w:val="TableGrid"/>
        <w:tblW w:type="auto" w:w="0"/>
        <w:tblLook w:firstColumn="1" w:firstRow="1" w:lastColumn="0" w:lastRow="0" w:noHBand="0" w:noVBand="1" w:val="04A0"/>
      </w:tblPr>
      <w:tblGrid>
        <w:gridCol w:w="9122"/>
      </w:tblGrid>
      <w:tr>
        <w:tc>
          <w:tcPr>
            <w:tcW w:type="dxa" w:w="9122"/>
            <w:shd w:val="clear" w:color="auto" w:fill="F2F4F6"/>
          </w:tcPr>
          <w:p>
            <w:pPr>
              <w:spacing w:before="0" w:after="0"/>
            </w:pPr>
            <w:r>
              <w:rPr>
                <w:rFonts w:ascii="Courier New" w:hAnsi="Courier New"/>
                <w:color w:val="2D3139"/>
                <w:sz w:val="17"/>
              </w:rPr>
              <w:t>unpaid → partial (payment received but &lt; total)</w:t>
            </w:r>
          </w:p>
          <w:p>
            <w:pPr>
              <w:spacing w:before="0" w:after="0"/>
            </w:pPr>
            <w:r>
              <w:rPr>
                <w:rFonts w:ascii="Courier New" w:hAnsi="Courier New"/>
                <w:color w:val="2D3139"/>
                <w:sz w:val="17"/>
              </w:rPr>
              <w:t>unpaid/partial → paid (full payment received)</w:t>
            </w:r>
          </w:p>
          <w:p>
            <w:pPr>
              <w:spacing w:before="0" w:after="0"/>
            </w:pPr>
            <w:r>
              <w:rPr>
                <w:rFonts w:ascii="Courier New" w:hAnsi="Courier New"/>
                <w:color w:val="2D3139"/>
                <w:sz w:val="17"/>
              </w:rPr>
              <w:t>unpaid/partial → overdue (past due_date)</w:t>
            </w:r>
          </w:p>
          <w:p>
            <w:pPr>
              <w:spacing w:before="0" w:after="0"/>
            </w:pPr>
            <w:r>
              <w:rPr>
                <w:rFonts w:ascii="Courier New" w:hAnsi="Courier New"/>
                <w:color w:val="2D3139"/>
                <w:sz w:val="17"/>
              </w:rPr>
              <w:t>any → cancelled (manual admin action)</w:t>
            </w:r>
          </w:p>
        </w:tc>
      </w:tr>
    </w:tbl>
    <w:p/>
    <w:p>
      <w:pPr>
        <w:pStyle w:val="Heading4"/>
        <w:spacing w:before="160" w:after="80"/>
      </w:pPr>
      <w:r>
        <w:rPr>
          <w:color w:val="495257"/>
        </w:rPr>
        <w:t>FR-BILL-04: Payment Recording</w:t>
      </w:r>
    </w:p>
    <w:p>
      <w:pPr>
        <w:pStyle w:val="ListBullet"/>
        <w:spacing w:before="20" w:after="20"/>
      </w:pPr>
      <w:r>
        <w:t>Payments recorded with: amount, payment_date, payment_method, payment_type, period_month, period_year, reference fields.</w:t>
      </w:r>
    </w:p>
    <w:p>
      <w:pPr>
        <w:pStyle w:val="ListBullet"/>
        <w:spacing w:before="20" w:after="20"/>
      </w:pPr>
      <w:r>
        <w:t xml:space="preserve">On save, linked invoice </w:t>
      </w:r>
      <w:r>
        <w:rPr>
          <w:rFonts w:ascii="Courier New" w:hAnsi="Courier New"/>
          <w:color w:val="D63384"/>
          <w:sz w:val="18"/>
        </w:rPr>
        <w:t>amount_paid</w:t>
      </w:r>
      <w:r>
        <w:t xml:space="preserve"> updated; status recalculated.</w:t>
      </w:r>
    </w:p>
    <w:p>
      <w:pPr>
        <w:pStyle w:val="Heading4"/>
        <w:spacing w:before="160" w:after="80"/>
      </w:pPr>
      <w:r>
        <w:rPr>
          <w:color w:val="495257"/>
        </w:rPr>
        <w:t>FR-BILL-05: M-Pesa STK Push</w:t>
      </w:r>
    </w:p>
    <w:p>
      <w:pPr>
        <w:pStyle w:val="ListBullet"/>
        <w:spacing w:before="20" w:after="20"/>
      </w:pPr>
      <w:r>
        <w:rPr>
          <w:rFonts w:ascii="Courier New" w:hAnsi="Courier New"/>
          <w:color w:val="D63384"/>
          <w:sz w:val="18"/>
        </w:rPr>
        <w:t>POST /payments/mpesa/stkpush</w:t>
      </w:r>
      <w:r>
        <w:t xml:space="preserve"> initiates a Daraja C2B STK Push.</w:t>
      </w:r>
    </w:p>
    <w:p>
      <w:pPr>
        <w:pStyle w:val="ListBullet"/>
        <w:spacing w:before="20" w:after="20"/>
      </w:pPr>
      <w:r>
        <w:t xml:space="preserve">Safaricom callback to </w:t>
      </w:r>
      <w:r>
        <w:rPr>
          <w:rFonts w:ascii="Courier New" w:hAnsi="Courier New"/>
          <w:color w:val="D63384"/>
          <w:sz w:val="18"/>
        </w:rPr>
        <w:t>/api/v1/payments/mpesa/callback</w:t>
      </w:r>
      <w:r>
        <w:t xml:space="preserve"> confirms transaction.</w:t>
      </w:r>
    </w:p>
    <w:p>
      <w:pPr>
        <w:pStyle w:val="ListBullet"/>
        <w:spacing w:before="20" w:after="20"/>
      </w:pPr>
      <w:r>
        <w:t xml:space="preserve">On confirmed </w:t>
      </w:r>
      <w:r>
        <w:rPr>
          <w:rFonts w:ascii="Courier New" w:hAnsi="Courier New"/>
          <w:color w:val="D63384"/>
          <w:sz w:val="18"/>
        </w:rPr>
        <w:t>ResultCode=0</w:t>
      </w:r>
      <w:r>
        <w:t>, a payment record is created automatically.</w:t>
      </w:r>
    </w:p>
    <w:p>
      <w:pPr>
        <w:spacing w:before="80" w:after="80"/>
        <w:pBdr>
          <w:bottom w:val="single" w:sz="6" w:space="1" w:color="DEE2E6"/>
        </w:pBdr>
      </w:pPr>
      <w:r>
        <w:br/>
      </w:r>
    </w:p>
    <w:p>
      <w:pPr>
        <w:pStyle w:val="Heading3"/>
        <w:spacing w:before="160" w:after="80"/>
      </w:pPr>
      <w:r>
        <w:rPr>
          <w:color w:val="495257"/>
        </w:rPr>
        <w:t>4.6 Maintenance Module</w:t>
      </w:r>
    </w:p>
    <w:p>
      <w:pPr>
        <w:pStyle w:val="Heading4"/>
        <w:spacing w:before="160" w:after="80"/>
      </w:pPr>
      <w:r>
        <w:rPr>
          <w:color w:val="495257"/>
        </w:rPr>
        <w:t>FR-MAINT-01: Request Submission</w:t>
      </w:r>
    </w:p>
    <w:p>
      <w:pPr>
        <w:pStyle w:val="ListBullet"/>
        <w:spacing w:before="20" w:after="20"/>
      </w:pPr>
      <w:r>
        <w:t>Tenants and staff can submit requests with: unit, title, description, priority, category.</w:t>
      </w:r>
    </w:p>
    <w:p>
      <w:pPr>
        <w:pStyle w:val="ListBullet"/>
        <w:spacing w:before="20" w:after="20"/>
      </w:pPr>
      <w:r>
        <w:t>Request number auto-generated (</w:t>
      </w:r>
      <w:r>
        <w:rPr>
          <w:rFonts w:ascii="Courier New" w:hAnsi="Courier New"/>
          <w:color w:val="D63384"/>
          <w:sz w:val="18"/>
        </w:rPr>
        <w:t>MR-YYYYMM-XXXXX</w:t>
      </w:r>
      <w:r>
        <w:t>).</w:t>
      </w:r>
    </w:p>
    <w:p>
      <w:pPr>
        <w:pStyle w:val="Heading4"/>
        <w:spacing w:before="160" w:after="80"/>
      </w:pPr>
      <w:r>
        <w:rPr>
          <w:color w:val="495257"/>
        </w:rPr>
        <w:t>FR-MAINT-02: Work Order Assignment</w:t>
      </w:r>
    </w:p>
    <w:p>
      <w:pPr>
        <w:pStyle w:val="ListBullet"/>
        <w:spacing w:before="20" w:after="20"/>
      </w:pPr>
      <w:r>
        <w:t>Manager assigns request to maintenance staff member.</w:t>
      </w:r>
    </w:p>
    <w:p>
      <w:pPr>
        <w:pStyle w:val="ListBullet"/>
        <w:spacing w:before="20" w:after="20"/>
      </w:pPr>
      <w:r>
        <w:t>Staff member receives in-app notification.</w:t>
      </w:r>
    </w:p>
    <w:p>
      <w:pPr>
        <w:pStyle w:val="Heading4"/>
        <w:spacing w:before="160" w:after="80"/>
      </w:pPr>
      <w:r>
        <w:rPr>
          <w:color w:val="495257"/>
        </w:rPr>
        <w:t>FR-MAINT-03: Status Workflow</w:t>
      </w:r>
    </w:p>
    <w:tbl>
      <w:tblPr>
        <w:tblStyle w:val="TableGrid"/>
        <w:tblW w:type="auto" w:w="0"/>
        <w:tblLook w:firstColumn="1" w:firstRow="1" w:lastColumn="0" w:lastRow="0" w:noHBand="0" w:noVBand="1" w:val="04A0"/>
      </w:tblPr>
      <w:tblGrid>
        <w:gridCol w:w="9122"/>
      </w:tblGrid>
      <w:tr>
        <w:tc>
          <w:tcPr>
            <w:tcW w:type="dxa" w:w="9122"/>
            <w:shd w:val="clear" w:color="auto" w:fill="F2F4F6"/>
          </w:tcPr>
          <w:p>
            <w:pPr>
              <w:spacing w:before="0" w:after="0"/>
            </w:pPr>
            <w:r>
              <w:rPr>
                <w:rFonts w:ascii="Courier New" w:hAnsi="Courier New"/>
                <w:color w:val="2D3139"/>
                <w:sz w:val="17"/>
              </w:rPr>
              <w:t>open → in_progress (work started; work_started timestamp set)</w:t>
            </w:r>
          </w:p>
          <w:p>
            <w:pPr>
              <w:spacing w:before="0" w:after="0"/>
            </w:pPr>
            <w:r>
              <w:rPr>
                <w:rFonts w:ascii="Courier New" w:hAnsi="Courier New"/>
                <w:color w:val="2D3139"/>
                <w:sz w:val="17"/>
              </w:rPr>
              <w:t>in_progress → completed (work_completed + cost fields required)</w:t>
            </w:r>
          </w:p>
          <w:p>
            <w:pPr>
              <w:spacing w:before="0" w:after="0"/>
            </w:pPr>
            <w:r>
              <w:rPr>
                <w:rFonts w:ascii="Courier New" w:hAnsi="Courier New"/>
                <w:color w:val="2D3139"/>
                <w:sz w:val="17"/>
              </w:rPr>
              <w:t>completed → resolved (tenant confirmation)</w:t>
            </w:r>
          </w:p>
          <w:p>
            <w:pPr>
              <w:spacing w:before="0" w:after="0"/>
            </w:pPr>
            <w:r>
              <w:rPr>
                <w:rFonts w:ascii="Courier New" w:hAnsi="Courier New"/>
                <w:color w:val="2D3139"/>
                <w:sz w:val="17"/>
              </w:rPr>
              <w:t>any → cancelled</w:t>
            </w:r>
          </w:p>
        </w:tc>
      </w:tr>
    </w:tbl>
    <w:p/>
    <w:p>
      <w:pPr>
        <w:pStyle w:val="Heading4"/>
        <w:spacing w:before="160" w:after="80"/>
      </w:pPr>
      <w:r>
        <w:rPr>
          <w:color w:val="495257"/>
        </w:rPr>
        <w:t>FR-MAINT-04: Cost Tracking</w:t>
      </w:r>
    </w:p>
    <w:p>
      <w:pPr>
        <w:pStyle w:val="ListBullet"/>
        <w:spacing w:before="20" w:after="20"/>
      </w:pPr>
      <w:r>
        <w:t>Fields: labour_hours, materials_cost, labour_cost, contractor_name, contractor_phone.</w:t>
      </w:r>
    </w:p>
    <w:p>
      <w:pPr>
        <w:pStyle w:val="ListBullet"/>
        <w:spacing w:before="20" w:after="20"/>
      </w:pPr>
      <w:r>
        <w:t>Total cost = materials_cost + labour_cost.</w:t>
      </w:r>
    </w:p>
    <w:p>
      <w:pPr>
        <w:pStyle w:val="Heading4"/>
        <w:spacing w:before="160" w:after="80"/>
      </w:pPr>
      <w:r>
        <w:rPr>
          <w:color w:val="495257"/>
        </w:rPr>
        <w:t>FR-MAINT-05: Recurring Maintenance</w:t>
      </w:r>
    </w:p>
    <w:p>
      <w:pPr>
        <w:pStyle w:val="ListBullet"/>
        <w:spacing w:before="20" w:after="20"/>
      </w:pPr>
      <w:r>
        <w:rPr>
          <w:rFonts w:ascii="Courier New" w:hAnsi="Courier New"/>
          <w:color w:val="D63384"/>
          <w:sz w:val="18"/>
        </w:rPr>
        <w:t>is_recurring = 1</w:t>
      </w:r>
      <w:r>
        <w:t xml:space="preserve"> + </w:t>
      </w:r>
      <w:r>
        <w:rPr>
          <w:rFonts w:ascii="Courier New" w:hAnsi="Courier New"/>
          <w:color w:val="D63384"/>
          <w:sz w:val="18"/>
        </w:rPr>
        <w:t>next_due_date</w:t>
      </w:r>
      <w:r>
        <w:t xml:space="preserve"> creates new requests automatically.</w:t>
      </w:r>
    </w:p>
    <w:p>
      <w:pPr>
        <w:spacing w:before="80" w:after="80"/>
        <w:pBdr>
          <w:bottom w:val="single" w:sz="6" w:space="1" w:color="DEE2E6"/>
        </w:pBdr>
      </w:pPr>
      <w:r>
        <w:br/>
      </w:r>
    </w:p>
    <w:p>
      <w:pPr>
        <w:pStyle w:val="Heading3"/>
        <w:spacing w:before="160" w:after="80"/>
      </w:pPr>
      <w:r>
        <w:rPr>
          <w:color w:val="495257"/>
        </w:rPr>
        <w:t>4.7 Document Management Module</w:t>
      </w:r>
    </w:p>
    <w:p>
      <w:pPr>
        <w:pStyle w:val="Heading4"/>
        <w:spacing w:before="160" w:after="80"/>
      </w:pPr>
      <w:r>
        <w:rPr>
          <w:color w:val="495257"/>
        </w:rPr>
        <w:t>FR-DOC-01: Document Upload</w:t>
      </w:r>
    </w:p>
    <w:p>
      <w:pPr>
        <w:pStyle w:val="ListBullet"/>
        <w:spacing w:before="20" w:after="20"/>
      </w:pPr>
      <w:r>
        <w:t xml:space="preserve">Upload via </w:t>
      </w:r>
      <w:r>
        <w:rPr>
          <w:rFonts w:ascii="Courier New" w:hAnsi="Courier New"/>
          <w:color w:val="D63384"/>
          <w:sz w:val="18"/>
        </w:rPr>
        <w:t>POST /documents</w:t>
      </w:r>
      <w:r>
        <w:t xml:space="preserve"> (multipart/form-data).</w:t>
      </w:r>
    </w:p>
    <w:p>
      <w:pPr>
        <w:pStyle w:val="ListBullet"/>
        <w:spacing w:before="20" w:after="20"/>
      </w:pPr>
      <w:r>
        <w:t xml:space="preserve">Stored as </w:t>
      </w:r>
      <w:r>
        <w:rPr>
          <w:rFonts w:ascii="Courier New" w:hAnsi="Courier New"/>
          <w:color w:val="D63384"/>
          <w:sz w:val="18"/>
        </w:rPr>
        <w:t>{uuid}.ext</w:t>
      </w:r>
      <w:r>
        <w:t xml:space="preserve"> in </w:t>
      </w:r>
      <w:r>
        <w:rPr>
          <w:rFonts w:ascii="Courier New" w:hAnsi="Courier New"/>
          <w:color w:val="D63384"/>
          <w:sz w:val="18"/>
        </w:rPr>
        <w:t>/storage/documents/</w:t>
      </w:r>
      <w:r>
        <w:t>.</w:t>
      </w:r>
    </w:p>
    <w:p>
      <w:pPr>
        <w:pStyle w:val="ListBullet"/>
        <w:spacing w:before="20" w:after="20"/>
      </w:pPr>
      <w:r>
        <w:t>Metadata: title, description, document_type, category, entity_type, entity_id, access_level.</w:t>
      </w:r>
    </w:p>
    <w:p>
      <w:pPr>
        <w:pStyle w:val="Heading4"/>
        <w:spacing w:before="160" w:after="80"/>
      </w:pPr>
      <w:r>
        <w:rPr>
          <w:color w:val="495257"/>
        </w:rPr>
        <w:t>FR-DOC-02: Access Levels</w:t>
      </w:r>
    </w:p>
    <w:p>
      <w:pPr>
        <w:pStyle w:val="ListBullet"/>
        <w:spacing w:before="20" w:after="20"/>
      </w:pPr>
      <w:r>
        <w:rPr>
          <w:rFonts w:ascii="Courier New" w:hAnsi="Courier New"/>
          <w:color w:val="D63384"/>
          <w:sz w:val="18"/>
        </w:rPr>
        <w:t>private</w:t>
      </w:r>
      <w:r>
        <w:t xml:space="preserve"> — uploader only.</w:t>
      </w:r>
    </w:p>
    <w:p>
      <w:pPr>
        <w:pStyle w:val="ListBullet"/>
        <w:spacing w:before="20" w:after="20"/>
      </w:pPr>
      <w:r>
        <w:rPr>
          <w:rFonts w:ascii="Courier New" w:hAnsi="Courier New"/>
          <w:color w:val="D63384"/>
          <w:sz w:val="18"/>
        </w:rPr>
        <w:t>internal</w:t>
      </w:r>
      <w:r>
        <w:t xml:space="preserve"> — all staff.</w:t>
      </w:r>
    </w:p>
    <w:p>
      <w:pPr>
        <w:pStyle w:val="ListBullet"/>
        <w:spacing w:before="20" w:after="20"/>
      </w:pPr>
      <w:r>
        <w:rPr>
          <w:rFonts w:ascii="Courier New" w:hAnsi="Courier New"/>
          <w:color w:val="D63384"/>
          <w:sz w:val="18"/>
        </w:rPr>
        <w:t>shared</w:t>
      </w:r>
      <w:r>
        <w:t xml:space="preserve"> — staff + associated tenant.</w:t>
      </w:r>
    </w:p>
    <w:p>
      <w:pPr>
        <w:pStyle w:val="Heading4"/>
        <w:spacing w:before="160" w:after="80"/>
      </w:pPr>
      <w:r>
        <w:rPr>
          <w:color w:val="495257"/>
        </w:rPr>
        <w:t>FR-DOC-03: Versioning</w:t>
      </w:r>
    </w:p>
    <w:p>
      <w:pPr>
        <w:pStyle w:val="ListBullet"/>
        <w:spacing w:before="20" w:after="20"/>
      </w:pPr>
      <w:r>
        <w:t xml:space="preserve">New version via </w:t>
      </w:r>
      <w:r>
        <w:rPr>
          <w:rFonts w:ascii="Courier New" w:hAnsi="Courier New"/>
          <w:color w:val="D63384"/>
          <w:sz w:val="18"/>
        </w:rPr>
        <w:t>POST /documents/{uuid}/version</w:t>
      </w:r>
      <w:r>
        <w:t>.</w:t>
      </w:r>
    </w:p>
    <w:p>
      <w:pPr>
        <w:pStyle w:val="ListBullet"/>
        <w:spacing w:before="20" w:after="20"/>
      </w:pPr>
      <w:r>
        <w:t xml:space="preserve">Previous </w:t>
      </w:r>
      <w:r>
        <w:rPr>
          <w:rFonts w:ascii="Courier New" w:hAnsi="Courier New"/>
          <w:color w:val="D63384"/>
          <w:sz w:val="18"/>
        </w:rPr>
        <w:t>is_latest</w:t>
      </w:r>
      <w:r>
        <w:t xml:space="preserve"> set to 0; new version becomes </w:t>
      </w:r>
      <w:r>
        <w:rPr>
          <w:rFonts w:ascii="Courier New" w:hAnsi="Courier New"/>
          <w:color w:val="D63384"/>
          <w:sz w:val="18"/>
        </w:rPr>
        <w:t>is_latest = 1</w:t>
      </w:r>
      <w:r>
        <w:t>.</w:t>
      </w:r>
    </w:p>
    <w:p>
      <w:pPr>
        <w:pStyle w:val="ListBullet"/>
        <w:spacing w:before="20" w:after="20"/>
      </w:pPr>
      <w:r>
        <w:t xml:space="preserve">All versions accessible via </w:t>
      </w:r>
      <w:r>
        <w:rPr>
          <w:rFonts w:ascii="Courier New" w:hAnsi="Courier New"/>
          <w:color w:val="D63384"/>
          <w:sz w:val="18"/>
        </w:rPr>
        <w:t>GET /documents/{uuid}/versions</w:t>
      </w:r>
      <w:r>
        <w:t>.</w:t>
      </w:r>
    </w:p>
    <w:p>
      <w:pPr>
        <w:pStyle w:val="Heading4"/>
        <w:spacing w:before="160" w:after="80"/>
      </w:pPr>
      <w:r>
        <w:rPr>
          <w:color w:val="495257"/>
        </w:rPr>
        <w:t>FR-DOC-04: Access Logging</w:t>
      </w:r>
    </w:p>
    <w:p>
      <w:pPr>
        <w:pStyle w:val="ListBullet"/>
        <w:spacing w:before="20" w:after="20"/>
      </w:pPr>
      <w:r>
        <w:t xml:space="preserve">Every view, download, upload, or delete action recorded in </w:t>
      </w:r>
      <w:r>
        <w:rPr>
          <w:rFonts w:ascii="Courier New" w:hAnsi="Courier New"/>
          <w:color w:val="D63384"/>
          <w:sz w:val="18"/>
        </w:rPr>
        <w:t>document_access_logs</w:t>
      </w:r>
      <w:r>
        <w:t>.</w:t>
      </w:r>
    </w:p>
    <w:p>
      <w:pPr>
        <w:pStyle w:val="Heading4"/>
        <w:spacing w:before="160" w:after="80"/>
      </w:pPr>
      <w:r>
        <w:rPr>
          <w:color w:val="495257"/>
        </w:rPr>
        <w:t>FR-DOC-05: Download</w:t>
      </w:r>
    </w:p>
    <w:p>
      <w:pPr>
        <w:pStyle w:val="ListBullet"/>
        <w:spacing w:before="20" w:after="20"/>
      </w:pPr>
      <w:r>
        <w:rPr>
          <w:rFonts w:ascii="Courier New" w:hAnsi="Courier New"/>
          <w:color w:val="D63384"/>
          <w:sz w:val="18"/>
        </w:rPr>
        <w:t>GET /documents/{uuid}/download</w:t>
      </w:r>
      <w:r>
        <w:t xml:space="preserve"> — streams file with Content-Disposition header.</w:t>
      </w:r>
    </w:p>
    <w:p>
      <w:pPr>
        <w:pStyle w:val="ListBullet"/>
        <w:spacing w:before="20" w:after="20"/>
      </w:pPr>
      <w:r>
        <w:t>Access token validated; access_level checked against user role.</w:t>
      </w:r>
    </w:p>
    <w:p>
      <w:pPr>
        <w:spacing w:before="80" w:after="80"/>
        <w:pBdr>
          <w:bottom w:val="single" w:sz="6" w:space="1" w:color="DEE2E6"/>
        </w:pBdr>
      </w:pPr>
      <w:r>
        <w:br/>
      </w:r>
    </w:p>
    <w:p>
      <w:pPr>
        <w:pStyle w:val="Heading3"/>
        <w:spacing w:before="160" w:after="80"/>
      </w:pPr>
      <w:r>
        <w:rPr>
          <w:color w:val="495257"/>
        </w:rPr>
        <w:t>4.8 Security Module</w:t>
      </w:r>
    </w:p>
    <w:p>
      <w:pPr>
        <w:pStyle w:val="Heading4"/>
        <w:spacing w:before="160" w:after="80"/>
      </w:pPr>
      <w:r>
        <w:rPr>
          <w:color w:val="495257"/>
        </w:rPr>
        <w:t>FR-SEC-01: Visitor Log</w:t>
      </w:r>
    </w:p>
    <w:p>
      <w:pPr>
        <w:pStyle w:val="ListBullet"/>
        <w:spacing w:before="20" w:after="20"/>
      </w:pPr>
      <w:r>
        <w:t>Fields: visitor_name, visitor_phone, visitor_id_no, visitor_id_type, vehicle_reg, purpose, host_name, check_in, check_out, badge_no, status (</w:t>
      </w:r>
      <w:r>
        <w:rPr>
          <w:rFonts w:ascii="Courier New" w:hAnsi="Courier New"/>
          <w:color w:val="D63384"/>
          <w:sz w:val="18"/>
        </w:rPr>
        <w:t>in</w:t>
      </w:r>
      <w:r>
        <w:t xml:space="preserve">, </w:t>
      </w:r>
      <w:r>
        <w:rPr>
          <w:rFonts w:ascii="Courier New" w:hAnsi="Courier New"/>
          <w:color w:val="D63384"/>
          <w:sz w:val="18"/>
        </w:rPr>
        <w:t>out</w:t>
      </w:r>
      <w:r>
        <w:t xml:space="preserve">, </w:t>
      </w:r>
      <w:r>
        <w:rPr>
          <w:rFonts w:ascii="Courier New" w:hAnsi="Courier New"/>
          <w:color w:val="D63384"/>
          <w:sz w:val="18"/>
        </w:rPr>
        <w:t>overstay</w:t>
      </w:r>
      <w:r>
        <w:t>).</w:t>
      </w:r>
    </w:p>
    <w:p>
      <w:pPr>
        <w:pStyle w:val="ListBullet"/>
        <w:spacing w:before="20" w:after="20"/>
      </w:pPr>
      <w:r>
        <w:t>Check-out time recorded on departure.</w:t>
      </w:r>
    </w:p>
    <w:p>
      <w:pPr>
        <w:pStyle w:val="ListBullet"/>
        <w:spacing w:before="20" w:after="20"/>
      </w:pPr>
      <w:r>
        <w:t>Overstay auto-flagged if check_in &gt; 12 hours with no check_out.</w:t>
      </w:r>
    </w:p>
    <w:p>
      <w:pPr>
        <w:pStyle w:val="Heading4"/>
        <w:spacing w:before="160" w:after="80"/>
      </w:pPr>
      <w:r>
        <w:rPr>
          <w:color w:val="495257"/>
        </w:rPr>
        <w:t>FR-SEC-02: Security Incidents</w:t>
      </w:r>
    </w:p>
    <w:p>
      <w:pPr>
        <w:pStyle w:val="ListBullet"/>
        <w:spacing w:before="20" w:after="20"/>
      </w:pPr>
      <w:r>
        <w:t>Fields: incident_type, severity (</w:t>
      </w:r>
      <w:r>
        <w:rPr>
          <w:rFonts w:ascii="Courier New" w:hAnsi="Courier New"/>
          <w:color w:val="D63384"/>
          <w:sz w:val="18"/>
        </w:rPr>
        <w:t>critical</w:t>
      </w:r>
      <w:r>
        <w:t xml:space="preserve">, </w:t>
      </w:r>
      <w:r>
        <w:rPr>
          <w:rFonts w:ascii="Courier New" w:hAnsi="Courier New"/>
          <w:color w:val="D63384"/>
          <w:sz w:val="18"/>
        </w:rPr>
        <w:t>high</w:t>
      </w:r>
      <w:r>
        <w:t xml:space="preserve">, </w:t>
      </w:r>
      <w:r>
        <w:rPr>
          <w:rFonts w:ascii="Courier New" w:hAnsi="Courier New"/>
          <w:color w:val="D63384"/>
          <w:sz w:val="18"/>
        </w:rPr>
        <w:t>medium</w:t>
      </w:r>
      <w:r>
        <w:t xml:space="preserve">, </w:t>
      </w:r>
      <w:r>
        <w:rPr>
          <w:rFonts w:ascii="Courier New" w:hAnsi="Courier New"/>
          <w:color w:val="D63384"/>
          <w:sz w:val="18"/>
        </w:rPr>
        <w:t>low</w:t>
      </w:r>
      <w:r>
        <w:t>), incident_date, description, persons_involved, action_taken, police_ref, resolved.</w:t>
      </w:r>
    </w:p>
    <w:p>
      <w:pPr>
        <w:pStyle w:val="Heading4"/>
        <w:spacing w:before="160" w:after="80"/>
      </w:pPr>
      <w:r>
        <w:rPr>
          <w:color w:val="495257"/>
        </w:rPr>
        <w:t>FR-SEC-03: Occupancy Log</w:t>
      </w:r>
    </w:p>
    <w:p>
      <w:pPr>
        <w:pStyle w:val="ListBullet"/>
        <w:spacing w:before="20" w:after="20"/>
      </w:pPr>
      <w:r>
        <w:t>Records tenant move-ins, move-outs, and access events per unit.</w:t>
      </w:r>
    </w:p>
    <w:p>
      <w:pPr>
        <w:spacing w:before="80" w:after="80"/>
        <w:pBdr>
          <w:bottom w:val="single" w:sz="6" w:space="1" w:color="DEE2E6"/>
        </w:pBdr>
      </w:pPr>
      <w:r>
        <w:br/>
      </w:r>
    </w:p>
    <w:p>
      <w:pPr>
        <w:pStyle w:val="Heading3"/>
        <w:spacing w:before="160" w:after="80"/>
      </w:pPr>
      <w:r>
        <w:rPr>
          <w:color w:val="495257"/>
        </w:rPr>
        <w:t>4.9 Reporting Module</w:t>
      </w:r>
    </w:p>
    <w:p>
      <w:pPr>
        <w:pStyle w:val="Heading4"/>
        <w:spacing w:before="160" w:after="80"/>
      </w:pPr>
      <w:r>
        <w:rPr>
          <w:color w:val="495257"/>
        </w:rPr>
        <w:t>FR-RPT-01: Occupancy Report</w:t>
      </w:r>
    </w:p>
    <w:p>
      <w:pPr>
        <w:pStyle w:val="ListBullet"/>
        <w:spacing w:before="20" w:after="20"/>
      </w:pPr>
      <w:r>
        <w:t>Totals: total units, occupied, available, maintenance, occupancy rate %.</w:t>
      </w:r>
    </w:p>
    <w:p>
      <w:pPr>
        <w:pStyle w:val="ListBullet"/>
        <w:spacing w:before="20" w:after="20"/>
      </w:pPr>
      <w:r>
        <w:t>Breakdown by property and by unit type.</w:t>
      </w:r>
    </w:p>
    <w:p>
      <w:pPr>
        <w:pStyle w:val="ListBullet"/>
        <w:spacing w:before="20" w:after="20"/>
      </w:pPr>
      <w:r>
        <w:t>Leases expiring within 30 days.</w:t>
      </w:r>
    </w:p>
    <w:p>
      <w:pPr>
        <w:pStyle w:val="Heading4"/>
        <w:spacing w:before="160" w:after="80"/>
      </w:pPr>
      <w:r>
        <w:rPr>
          <w:color w:val="495257"/>
        </w:rPr>
        <w:t>FR-RPT-02: Arrears Report</w:t>
      </w:r>
    </w:p>
    <w:p>
      <w:pPr>
        <w:pStyle w:val="ListBullet"/>
        <w:spacing w:before="20" w:after="20"/>
      </w:pPr>
      <w:r>
        <w:t>Monthly trend: billed vs collected vs outstanding (configurable 3–24 months).</w:t>
      </w:r>
    </w:p>
    <w:p>
      <w:pPr>
        <w:pStyle w:val="ListBullet"/>
        <w:spacing w:before="20" w:after="20"/>
      </w:pPr>
      <w:r>
        <w:t>Worst offenders: tenant name, outstanding amount, overdue invoices, max days overdue.</w:t>
      </w:r>
    </w:p>
    <w:p>
      <w:pPr>
        <w:pStyle w:val="ListBullet"/>
        <w:spacing w:before="20" w:after="20"/>
      </w:pPr>
      <w:r>
        <w:t>Breakdown by property.</w:t>
      </w:r>
    </w:p>
    <w:p>
      <w:pPr>
        <w:pStyle w:val="ListBullet"/>
        <w:spacing w:before="20" w:after="20"/>
      </w:pPr>
      <w:r>
        <w:t>Collection effectiveness rate %.</w:t>
      </w:r>
    </w:p>
    <w:p>
      <w:pPr>
        <w:pStyle w:val="Heading4"/>
        <w:spacing w:before="160" w:after="80"/>
      </w:pPr>
      <w:r>
        <w:rPr>
          <w:color w:val="495257"/>
        </w:rPr>
        <w:t>FR-RPT-03: Revenue Report (Financial)</w:t>
      </w:r>
    </w:p>
    <w:p>
      <w:pPr>
        <w:pStyle w:val="ListBullet"/>
        <w:spacing w:before="20" w:after="20"/>
      </w:pPr>
      <w:r>
        <w:t>Annual totals: collected, outstanding, collection rate %.</w:t>
      </w:r>
    </w:p>
    <w:p>
      <w:pPr>
        <w:pStyle w:val="ListBullet"/>
        <w:spacing w:before="20" w:after="20"/>
      </w:pPr>
      <w:r>
        <w:t>Monthly revenue chart.</w:t>
      </w:r>
    </w:p>
    <w:p>
      <w:pPr>
        <w:pStyle w:val="ListBullet"/>
        <w:spacing w:before="20" w:after="20"/>
      </w:pPr>
      <w:r>
        <w:t>Breakdown by payment type and payment method.</w:t>
      </w:r>
    </w:p>
    <w:p>
      <w:pPr>
        <w:pStyle w:val="ListBullet"/>
        <w:spacing w:before="20" w:after="20"/>
      </w:pPr>
      <w:r>
        <w:t>Top 10 paying tenants.</w:t>
      </w:r>
    </w:p>
    <w:p>
      <w:pPr>
        <w:pStyle w:val="Heading4"/>
        <w:spacing w:before="160" w:after="80"/>
      </w:pPr>
      <w:r>
        <w:rPr>
          <w:color w:val="495257"/>
        </w:rPr>
        <w:t>FR-RPT-04: Maintenance Report</w:t>
      </w:r>
    </w:p>
    <w:p>
      <w:pPr>
        <w:pStyle w:val="ListBullet"/>
        <w:spacing w:before="20" w:after="20"/>
      </w:pPr>
      <w:r>
        <w:t>Annual totals: total requests, open, total cost.</w:t>
      </w:r>
    </w:p>
    <w:p>
      <w:pPr>
        <w:pStyle w:val="ListBullet"/>
        <w:spacing w:before="20" w:after="20"/>
      </w:pPr>
      <w:r>
        <w:t>Breakdown by status, priority, category.</w:t>
      </w:r>
    </w:p>
    <w:p>
      <w:pPr>
        <w:pStyle w:val="ListBullet"/>
        <w:spacing w:before="20" w:after="20"/>
      </w:pPr>
      <w:r>
        <w:t>Per-property breakdown.</w:t>
      </w:r>
    </w:p>
    <w:p>
      <w:pPr>
        <w:pStyle w:val="Heading4"/>
        <w:spacing w:before="160" w:after="80"/>
      </w:pPr>
      <w:r>
        <w:rPr>
          <w:color w:val="495257"/>
        </w:rPr>
        <w:t>FR-RPT-05: Audit Report</w:t>
      </w:r>
    </w:p>
    <w:p>
      <w:pPr>
        <w:pStyle w:val="ListBullet"/>
        <w:spacing w:before="20" w:after="20"/>
      </w:pPr>
      <w:r>
        <w:t>Filterable by date range, action, module, user, IP address.</w:t>
      </w:r>
    </w:p>
    <w:p>
      <w:pPr>
        <w:pStyle w:val="ListBullet"/>
        <w:spacing w:before="20" w:after="20"/>
      </w:pPr>
      <w:r>
        <w:t>Paginated (50 per page).</w:t>
      </w:r>
    </w:p>
    <w:p>
      <w:pPr>
        <w:pStyle w:val="ListBullet"/>
        <w:spacing w:before="20" w:after="20"/>
      </w:pPr>
      <w:r>
        <w:t>Shows: timestamp, user name/email/role, action, module, record ID, description, IP.</w:t>
      </w:r>
    </w:p>
    <w:p>
      <w:pPr>
        <w:pStyle w:val="ListBullet"/>
        <w:spacing w:before="20" w:after="20"/>
      </w:pPr>
      <w:r>
        <w:t>Before/after diff viewer for UPDATE actions.</w:t>
      </w:r>
    </w:p>
    <w:p>
      <w:pPr>
        <w:pStyle w:val="ListBullet"/>
        <w:spacing w:before="20" w:after="20"/>
      </w:pPr>
      <w:r>
        <w:t>CSV export with full history.</w:t>
      </w:r>
    </w:p>
    <w:p>
      <w:pPr>
        <w:pStyle w:val="Heading4"/>
        <w:spacing w:before="160" w:after="80"/>
      </w:pPr>
      <w:r>
        <w:rPr>
          <w:color w:val="495257"/>
        </w:rPr>
        <w:t>FR-RPT-06: CSV Export</w:t>
      </w:r>
    </w:p>
    <w:p>
      <w:pPr>
        <w:pStyle w:val="ListBullet"/>
        <w:spacing w:before="20" w:after="20"/>
      </w:pPr>
      <w:r>
        <w:t>All tabular reports exportable as UTF-8 CSV with BOM (Excel-compatible).</w:t>
      </w:r>
    </w:p>
    <w:p>
      <w:pPr>
        <w:pStyle w:val="ListBullet"/>
        <w:spacing w:before="20" w:after="20"/>
      </w:pPr>
      <w:r>
        <w:t xml:space="preserve">Export available via </w:t>
      </w:r>
      <w:r>
        <w:rPr>
          <w:rFonts w:ascii="Courier New" w:hAnsi="Courier New"/>
          <w:color w:val="D63384"/>
          <w:sz w:val="18"/>
        </w:rPr>
        <w:t>GET /api/v1/reports/export?report={type}&amp;format=csv</w:t>
      </w:r>
      <w:r>
        <w:t>.</w:t>
      </w:r>
    </w:p>
    <w:p>
      <w:pPr>
        <w:pStyle w:val="Heading4"/>
        <w:spacing w:before="160" w:after="80"/>
      </w:pPr>
      <w:r>
        <w:rPr>
          <w:color w:val="495257"/>
        </w:rPr>
        <w:t>FR-RPT-07: Scheduled Reports</w:t>
      </w:r>
    </w:p>
    <w:p>
      <w:pPr>
        <w:pStyle w:val="ListBullet"/>
        <w:spacing w:before="20" w:after="20"/>
      </w:pPr>
      <w:r>
        <w:t>Admin/Manager can define scheduled reports with: name, report_type, format, filters, frequency (daily/weekly/monthly), run_day, run_hour, recipients (email list).</w:t>
      </w:r>
    </w:p>
    <w:p>
      <w:pPr>
        <w:pStyle w:val="ListBullet"/>
        <w:spacing w:before="20" w:after="20"/>
      </w:pPr>
      <w:r>
        <w:t>System emails reports automatically on schedule.</w:t>
      </w:r>
    </w:p>
    <w:p>
      <w:pPr>
        <w:spacing w:before="80" w:after="80"/>
        <w:pBdr>
          <w:bottom w:val="single" w:sz="6" w:space="1" w:color="DEE2E6"/>
        </w:pBdr>
      </w:pPr>
      <w:r>
        <w:br/>
      </w:r>
    </w:p>
    <w:p>
      <w:pPr>
        <w:pStyle w:val="Heading3"/>
        <w:spacing w:before="160" w:after="80"/>
      </w:pPr>
      <w:r>
        <w:rPr>
          <w:color w:val="495257"/>
        </w:rPr>
        <w:t>4.10 GDPR Module</w:t>
      </w:r>
    </w:p>
    <w:p>
      <w:pPr>
        <w:pStyle w:val="Heading4"/>
        <w:spacing w:before="160" w:after="80"/>
      </w:pPr>
      <w:r>
        <w:rPr>
          <w:color w:val="495257"/>
        </w:rPr>
        <w:t>FR-GDPR-01: Consent Management</w:t>
      </w:r>
    </w:p>
    <w:p>
      <w:pPr>
        <w:pStyle w:val="ListBullet"/>
        <w:spacing w:before="20" w:after="20"/>
      </w:pPr>
      <w:r>
        <w:t xml:space="preserve">Three consent types: </w:t>
      </w:r>
      <w:r>
        <w:rPr>
          <w:rFonts w:ascii="Courier New" w:hAnsi="Courier New"/>
          <w:color w:val="D63384"/>
          <w:sz w:val="18"/>
        </w:rPr>
        <w:t>terms</w:t>
      </w:r>
      <w:r>
        <w:t xml:space="preserve"> (required), </w:t>
      </w:r>
      <w:r>
        <w:rPr>
          <w:rFonts w:ascii="Courier New" w:hAnsi="Courier New"/>
          <w:color w:val="D63384"/>
          <w:sz w:val="18"/>
        </w:rPr>
        <w:t>privacy</w:t>
      </w:r>
      <w:r>
        <w:t xml:space="preserve"> (required), </w:t>
      </w:r>
      <w:r>
        <w:rPr>
          <w:rFonts w:ascii="Courier New" w:hAnsi="Courier New"/>
          <w:color w:val="D63384"/>
          <w:sz w:val="18"/>
        </w:rPr>
        <w:t>marketing</w:t>
      </w:r>
      <w:r>
        <w:t xml:space="preserve"> (optional).</w:t>
      </w:r>
    </w:p>
    <w:p>
      <w:pPr>
        <w:pStyle w:val="ListBullet"/>
        <w:spacing w:before="20" w:after="20"/>
      </w:pPr>
      <w:r>
        <w:t>Each consent record stores: user_id, type, version, consented (1/0), ip_address, user_agent, created_at.</w:t>
      </w:r>
    </w:p>
    <w:p>
      <w:pPr>
        <w:pStyle w:val="Heading4"/>
        <w:spacing w:before="160" w:after="80"/>
      </w:pPr>
      <w:r>
        <w:rPr>
          <w:color w:val="495257"/>
        </w:rPr>
        <w:t>FR-GDPR-02: Data Export (Art. 20)</w:t>
      </w:r>
    </w:p>
    <w:p>
      <w:pPr>
        <w:pStyle w:val="ListBullet"/>
        <w:spacing w:before="20" w:after="20"/>
      </w:pPr>
      <w:r>
        <w:rPr>
          <w:rFonts w:ascii="Courier New" w:hAnsi="Courier New"/>
          <w:color w:val="D63384"/>
          <w:sz w:val="18"/>
        </w:rPr>
        <w:t>POST /gdpr/export/request</w:t>
      </w:r>
      <w:r>
        <w:t xml:space="preserve"> generates a one-time download token (1-hour TTL).</w:t>
      </w:r>
    </w:p>
    <w:p>
      <w:pPr>
        <w:pStyle w:val="ListBullet"/>
        <w:spacing w:before="20" w:after="20"/>
      </w:pPr>
      <w:r>
        <w:rPr>
          <w:rFonts w:ascii="Courier New" w:hAnsi="Courier New"/>
          <w:color w:val="D63384"/>
          <w:sz w:val="18"/>
        </w:rPr>
        <w:t>GET /gdpr/export/download?token=</w:t>
      </w:r>
      <w:r>
        <w:t xml:space="preserve"> streams a JSON file with all user data.</w:t>
      </w:r>
    </w:p>
    <w:p>
      <w:pPr>
        <w:pStyle w:val="ListBullet"/>
        <w:spacing w:before="20" w:after="20"/>
      </w:pPr>
      <w:r>
        <w:t>Exported data includes: profile, tenant record, leases, payments, invoices, maintenance, documents, notifications, consents, audit_log.</w:t>
      </w:r>
    </w:p>
    <w:p>
      <w:pPr>
        <w:pStyle w:val="Heading4"/>
        <w:spacing w:before="160" w:after="80"/>
      </w:pPr>
      <w:r>
        <w:rPr>
          <w:color w:val="495257"/>
        </w:rPr>
        <w:t>FR-GDPR-03: Right to Erasure (Art. 17)</w:t>
      </w:r>
    </w:p>
    <w:p>
      <w:pPr>
        <w:pStyle w:val="ListBullet"/>
        <w:spacing w:before="20" w:after="20"/>
      </w:pPr>
      <w:r>
        <w:rPr>
          <w:rFonts w:ascii="Courier New" w:hAnsi="Courier New"/>
          <w:color w:val="D63384"/>
          <w:sz w:val="18"/>
        </w:rPr>
        <w:t>POST /gdpr/deletion/request</w:t>
      </w:r>
      <w:r>
        <w:t xml:space="preserve"> submits a deletion request with optional reason.</w:t>
      </w:r>
    </w:p>
    <w:p>
      <w:pPr>
        <w:pStyle w:val="ListBullet"/>
        <w:spacing w:before="20" w:after="20"/>
      </w:pPr>
      <w:r>
        <w:t>Admins review requests in the Privacy &amp; Data page.</w:t>
      </w:r>
    </w:p>
    <w:p>
      <w:pPr>
        <w:pStyle w:val="ListBullet"/>
        <w:spacing w:before="20" w:after="20"/>
      </w:pPr>
      <w:r>
        <w:t>On approval: PII fields anonymized, tokens revoked, MFA deleted, notifications deleted, documents soft-deleted.</w:t>
      </w:r>
    </w:p>
    <w:p>
      <w:pPr>
        <w:pStyle w:val="ListBullet"/>
        <w:spacing w:before="20" w:after="20"/>
      </w:pPr>
      <w:r>
        <w:t>Financial records and audit logs retained per legal requirements.</w:t>
      </w:r>
    </w:p>
    <w:p>
      <w:pPr>
        <w:spacing w:before="80" w:after="80"/>
        <w:pBdr>
          <w:bottom w:val="single" w:sz="6" w:space="1" w:color="DEE2E6"/>
        </w:pBdr>
      </w:pPr>
      <w:r>
        <w:br/>
      </w:r>
    </w:p>
    <w:p>
      <w:pPr>
        <w:pStyle w:val="Heading2"/>
        <w:spacing w:before="200" w:after="80"/>
      </w:pPr>
      <w:r>
        <w:rPr>
          <w:color w:val="198754"/>
        </w:rPr>
        <w:t>5. Business Rules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0D6EFD"/>
          </w:tcPr>
          <w:p>
            <w:pPr>
              <w:spacing w:before="40" w:after="40"/>
            </w:pPr>
            <w:r>
              <w:rPr>
                <w:b/>
                <w:color w:val="FFFFFF"/>
              </w:rPr>
              <w:t>ID</w:t>
            </w:r>
          </w:p>
        </w:tc>
        <w:tc>
          <w:tcPr>
            <w:tcW w:type="dxa" w:w="4561"/>
            <w:shd w:val="clear" w:color="auto" w:fill="0D6EFD"/>
          </w:tcPr>
          <w:p>
            <w:pPr>
              <w:spacing w:before="40" w:after="40"/>
            </w:pPr>
            <w:r>
              <w:rPr>
                <w:b/>
                <w:color w:val="FFFFFF"/>
              </w:rPr>
              <w:t>Rule</w:t>
            </w:r>
          </w:p>
        </w:tc>
      </w:tr>
      <w:tr>
        <w:tc>
          <w:tcPr>
            <w:tcW w:type="dxa" w:w="4561"/>
          </w:tcPr>
          <w:p>
            <w:pPr>
              <w:spacing w:before="40" w:after="40"/>
            </w:pPr>
            <w:r>
              <w:t>BR-R01</w:t>
            </w:r>
          </w:p>
        </w:tc>
        <w:tc>
          <w:tcPr>
            <w:tcW w:type="dxa" w:w="4561"/>
          </w:tcPr>
          <w:p>
            <w:pPr>
              <w:spacing w:before="40" w:after="40"/>
            </w:pPr>
            <w:r>
              <w:t>A unit cannot have more than one active lease at a time</w:t>
            </w:r>
          </w:p>
        </w:tc>
      </w:tr>
      <w:tr>
        <w:tc>
          <w:tcPr>
            <w:tcW w:type="dxa" w:w="4561"/>
          </w:tcPr>
          <w:p>
            <w:pPr>
              <w:spacing w:before="40" w:after="40"/>
            </w:pPr>
            <w:r>
              <w:t>BR-R02</w:t>
            </w:r>
          </w:p>
        </w:tc>
        <w:tc>
          <w:tcPr>
            <w:tcW w:type="dxa" w:w="4561"/>
          </w:tcPr>
          <w:p>
            <w:pPr>
              <w:spacing w:before="40" w:after="40"/>
            </w:pPr>
            <w:r>
              <w:t xml:space="preserve">A tenant in </w:t>
            </w:r>
            <w:r>
              <w:rPr>
                <w:rFonts w:ascii="Courier New" w:hAnsi="Courier New"/>
                <w:color w:val="D63384"/>
                <w:sz w:val="18"/>
              </w:rPr>
              <w:t>blacklisted</w:t>
            </w:r>
            <w:r>
              <w:t xml:space="preserve"> status cannot be assigned to a new lease</w:t>
            </w:r>
          </w:p>
        </w:tc>
      </w:tr>
      <w:tr>
        <w:tc>
          <w:tcPr>
            <w:tcW w:type="dxa" w:w="4561"/>
          </w:tcPr>
          <w:p>
            <w:pPr>
              <w:spacing w:before="40" w:after="40"/>
            </w:pPr>
            <w:r>
              <w:t>BR-R03</w:t>
            </w:r>
          </w:p>
        </w:tc>
        <w:tc>
          <w:tcPr>
            <w:tcW w:type="dxa" w:w="4561"/>
          </w:tcPr>
          <w:p>
            <w:pPr>
              <w:spacing w:before="40" w:after="40"/>
            </w:pPr>
            <w:r>
              <w:t>Only one invoice may be generated per lease per billing period</w:t>
            </w:r>
          </w:p>
        </w:tc>
      </w:tr>
      <w:tr>
        <w:tc>
          <w:tcPr>
            <w:tcW w:type="dxa" w:w="4561"/>
          </w:tcPr>
          <w:p>
            <w:pPr>
              <w:spacing w:before="40" w:after="40"/>
            </w:pPr>
            <w:r>
              <w:t>BR-R04</w:t>
            </w:r>
          </w:p>
        </w:tc>
        <w:tc>
          <w:tcPr>
            <w:tcW w:type="dxa" w:w="4561"/>
          </w:tcPr>
          <w:p>
            <w:pPr>
              <w:spacing w:before="40" w:after="40"/>
            </w:pPr>
            <w:r>
              <w:t>Payments cannot be recorded against a cancelled invoice</w:t>
            </w:r>
          </w:p>
        </w:tc>
      </w:tr>
      <w:tr>
        <w:tc>
          <w:tcPr>
            <w:tcW w:type="dxa" w:w="4561"/>
          </w:tcPr>
          <w:p>
            <w:pPr>
              <w:spacing w:before="40" w:after="40"/>
            </w:pPr>
            <w:r>
              <w:t>BR-R05</w:t>
            </w:r>
          </w:p>
        </w:tc>
        <w:tc>
          <w:tcPr>
            <w:tcW w:type="dxa" w:w="4561"/>
          </w:tcPr>
          <w:p>
            <w:pPr>
              <w:spacing w:before="40" w:after="40"/>
            </w:pPr>
            <w:r>
              <w:t>Lease end_date must be after start_date</w:t>
            </w:r>
          </w:p>
        </w:tc>
      </w:tr>
      <w:tr>
        <w:tc>
          <w:tcPr>
            <w:tcW w:type="dxa" w:w="4561"/>
          </w:tcPr>
          <w:p>
            <w:pPr>
              <w:spacing w:before="40" w:after="40"/>
            </w:pPr>
            <w:r>
              <w:t>BR-R06</w:t>
            </w:r>
          </w:p>
        </w:tc>
        <w:tc>
          <w:tcPr>
            <w:tcW w:type="dxa" w:w="4561"/>
          </w:tcPr>
          <w:p>
            <w:pPr>
              <w:spacing w:before="40" w:after="40"/>
            </w:pPr>
            <w:r>
              <w:t>Monthly rent on invoices must match the lease monthly_rent at time of generation</w:t>
            </w:r>
          </w:p>
        </w:tc>
      </w:tr>
      <w:tr>
        <w:tc>
          <w:tcPr>
            <w:tcW w:type="dxa" w:w="4561"/>
          </w:tcPr>
          <w:p>
            <w:pPr>
              <w:spacing w:before="40" w:after="40"/>
            </w:pPr>
            <w:r>
              <w:t>BR-R07</w:t>
            </w:r>
          </w:p>
        </w:tc>
        <w:tc>
          <w:tcPr>
            <w:tcW w:type="dxa" w:w="4561"/>
          </w:tcPr>
          <w:p>
            <w:pPr>
              <w:spacing w:before="40" w:after="40"/>
            </w:pPr>
            <w:r>
              <w:t>Audit log entries are immutable — no UPDATE or DELETE permitted</w:t>
            </w:r>
          </w:p>
        </w:tc>
      </w:tr>
      <w:tr>
        <w:tc>
          <w:tcPr>
            <w:tcW w:type="dxa" w:w="4561"/>
          </w:tcPr>
          <w:p>
            <w:pPr>
              <w:spacing w:before="40" w:after="40"/>
            </w:pPr>
            <w:r>
              <w:t>BR-R08</w:t>
            </w:r>
          </w:p>
        </w:tc>
        <w:tc>
          <w:tcPr>
            <w:tcW w:type="dxa" w:w="4561"/>
          </w:tcPr>
          <w:p>
            <w:pPr>
              <w:spacing w:before="40" w:after="40"/>
            </w:pPr>
            <w:r>
              <w:t>Anonymized users (</w:t>
            </w:r>
            <w:r>
              <w:rPr>
                <w:rFonts w:ascii="Courier New" w:hAnsi="Courier New"/>
                <w:color w:val="D63384"/>
                <w:sz w:val="18"/>
              </w:rPr>
              <w:t>data_anonymized=1</w:t>
            </w:r>
            <w:r>
              <w:t>) cannot log in</w:t>
            </w:r>
          </w:p>
        </w:tc>
      </w:tr>
      <w:tr>
        <w:tc>
          <w:tcPr>
            <w:tcW w:type="dxa" w:w="4561"/>
          </w:tcPr>
          <w:p>
            <w:pPr>
              <w:spacing w:before="40" w:after="40"/>
            </w:pPr>
            <w:r>
              <w:t>BR-R09</w:t>
            </w:r>
          </w:p>
        </w:tc>
        <w:tc>
          <w:tcPr>
            <w:tcW w:type="dxa" w:w="4561"/>
          </w:tcPr>
          <w:p>
            <w:pPr>
              <w:spacing w:before="40" w:after="40"/>
            </w:pPr>
            <w:r>
              <w:t>Admin users cannot anonymize themselves</w:t>
            </w:r>
          </w:p>
        </w:tc>
      </w:tr>
      <w:tr>
        <w:tc>
          <w:tcPr>
            <w:tcW w:type="dxa" w:w="4561"/>
          </w:tcPr>
          <w:p>
            <w:pPr>
              <w:spacing w:before="40" w:after="40"/>
            </w:pPr>
            <w:r>
              <w:t>BR-R10</w:t>
            </w:r>
          </w:p>
        </w:tc>
        <w:tc>
          <w:tcPr>
            <w:tcW w:type="dxa" w:w="4561"/>
          </w:tcPr>
          <w:p>
            <w:pPr>
              <w:spacing w:before="40" w:after="40"/>
            </w:pPr>
            <w:r>
              <w:t xml:space="preserve">Documents with </w:t>
            </w:r>
            <w:r>
              <w:rPr>
                <w:rFonts w:ascii="Courier New" w:hAnsi="Courier New"/>
                <w:color w:val="D63384"/>
                <w:sz w:val="18"/>
              </w:rPr>
              <w:t>access_level=private</w:t>
            </w:r>
            <w:r>
              <w:t xml:space="preserve"> are visible only to the uploading user</w:t>
            </w:r>
          </w:p>
        </w:tc>
      </w:tr>
    </w:tbl>
    <w:p/>
    <w:p>
      <w:pPr>
        <w:spacing w:before="80" w:after="80"/>
        <w:pBdr>
          <w:bottom w:val="single" w:sz="6" w:space="1" w:color="DEE2E6"/>
        </w:pBdr>
      </w:pPr>
      <w:r>
        <w:br/>
      </w:r>
    </w:p>
    <w:p>
      <w:pPr>
        <w:pStyle w:val="Heading2"/>
        <w:spacing w:before="200" w:after="80"/>
      </w:pPr>
      <w:r>
        <w:rPr>
          <w:color w:val="198754"/>
        </w:rPr>
        <w:t>6. Non-Functional Requirements</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D6EFD"/>
          </w:tcPr>
          <w:p>
            <w:pPr>
              <w:spacing w:before="40" w:after="40"/>
            </w:pPr>
            <w:r>
              <w:rPr>
                <w:b/>
                <w:color w:val="FFFFFF"/>
              </w:rPr>
              <w:t>ID</w:t>
            </w:r>
          </w:p>
        </w:tc>
        <w:tc>
          <w:tcPr>
            <w:tcW w:type="dxa" w:w="3041"/>
            <w:shd w:val="clear" w:color="auto" w:fill="0D6EFD"/>
          </w:tcPr>
          <w:p>
            <w:pPr>
              <w:spacing w:before="40" w:after="40"/>
            </w:pPr>
            <w:r>
              <w:rPr>
                <w:b/>
                <w:color w:val="FFFFFF"/>
              </w:rPr>
              <w:t>Category</w:t>
            </w:r>
          </w:p>
        </w:tc>
        <w:tc>
          <w:tcPr>
            <w:tcW w:type="dxa" w:w="3041"/>
            <w:shd w:val="clear" w:color="auto" w:fill="0D6EFD"/>
          </w:tcPr>
          <w:p>
            <w:pPr>
              <w:spacing w:before="40" w:after="40"/>
            </w:pPr>
            <w:r>
              <w:rPr>
                <w:b/>
                <w:color w:val="FFFFFF"/>
              </w:rPr>
              <w:t>Requirement</w:t>
            </w:r>
          </w:p>
        </w:tc>
      </w:tr>
      <w:tr>
        <w:tc>
          <w:tcPr>
            <w:tcW w:type="dxa" w:w="3041"/>
          </w:tcPr>
          <w:p>
            <w:pPr>
              <w:spacing w:before="40" w:after="40"/>
            </w:pPr>
            <w:r>
              <w:t>NFR-01</w:t>
            </w:r>
          </w:p>
        </w:tc>
        <w:tc>
          <w:tcPr>
            <w:tcW w:type="dxa" w:w="3041"/>
          </w:tcPr>
          <w:p>
            <w:pPr>
              <w:spacing w:before="40" w:after="40"/>
            </w:pPr>
            <w:r>
              <w:t>Performance</w:t>
            </w:r>
          </w:p>
        </w:tc>
        <w:tc>
          <w:tcPr>
            <w:tcW w:type="dxa" w:w="3041"/>
          </w:tcPr>
          <w:p>
            <w:pPr>
              <w:spacing w:before="40" w:after="40"/>
            </w:pPr>
            <w:r>
              <w:t>API response time &lt; 3 seconds for all endpoints under normal load</w:t>
            </w:r>
          </w:p>
        </w:tc>
      </w:tr>
      <w:tr>
        <w:tc>
          <w:tcPr>
            <w:tcW w:type="dxa" w:w="3041"/>
          </w:tcPr>
          <w:p>
            <w:pPr>
              <w:spacing w:before="40" w:after="40"/>
            </w:pPr>
            <w:r>
              <w:t>NFR-02</w:t>
            </w:r>
          </w:p>
        </w:tc>
        <w:tc>
          <w:tcPr>
            <w:tcW w:type="dxa" w:w="3041"/>
          </w:tcPr>
          <w:p>
            <w:pPr>
              <w:spacing w:before="40" w:after="40"/>
            </w:pPr>
            <w:r>
              <w:t>Scalability</w:t>
            </w:r>
          </w:p>
        </w:tc>
        <w:tc>
          <w:tcPr>
            <w:tcW w:type="dxa" w:w="3041"/>
          </w:tcPr>
          <w:p>
            <w:pPr>
              <w:spacing w:before="40" w:after="40"/>
            </w:pPr>
            <w:r>
              <w:t>Architecture supports 10,000+ concurrent users via horizontal scaling</w:t>
            </w:r>
          </w:p>
        </w:tc>
      </w:tr>
      <w:tr>
        <w:tc>
          <w:tcPr>
            <w:tcW w:type="dxa" w:w="3041"/>
          </w:tcPr>
          <w:p>
            <w:pPr>
              <w:spacing w:before="40" w:after="40"/>
            </w:pPr>
            <w:r>
              <w:t>NFR-03</w:t>
            </w:r>
          </w:p>
        </w:tc>
        <w:tc>
          <w:tcPr>
            <w:tcW w:type="dxa" w:w="3041"/>
          </w:tcPr>
          <w:p>
            <w:pPr>
              <w:spacing w:before="40" w:after="40"/>
            </w:pPr>
            <w:r>
              <w:t>Availability</w:t>
            </w:r>
          </w:p>
        </w:tc>
        <w:tc>
          <w:tcPr>
            <w:tcW w:type="dxa" w:w="3041"/>
          </w:tcPr>
          <w:p>
            <w:pPr>
              <w:spacing w:before="40" w:after="40"/>
            </w:pPr>
            <w:r>
              <w:t>99.9% uptime (&lt; 8.7 hours downtime/year)</w:t>
            </w:r>
          </w:p>
        </w:tc>
      </w:tr>
      <w:tr>
        <w:tc>
          <w:tcPr>
            <w:tcW w:type="dxa" w:w="3041"/>
          </w:tcPr>
          <w:p>
            <w:pPr>
              <w:spacing w:before="40" w:after="40"/>
            </w:pPr>
            <w:r>
              <w:t>NFR-04</w:t>
            </w:r>
          </w:p>
        </w:tc>
        <w:tc>
          <w:tcPr>
            <w:tcW w:type="dxa" w:w="3041"/>
          </w:tcPr>
          <w:p>
            <w:pPr>
              <w:spacing w:before="40" w:after="40"/>
            </w:pPr>
            <w:r>
              <w:t>Security</w:t>
            </w:r>
          </w:p>
        </w:tc>
        <w:tc>
          <w:tcPr>
            <w:tcW w:type="dxa" w:w="3041"/>
          </w:tcPr>
          <w:p>
            <w:pPr>
              <w:spacing w:before="40" w:after="40"/>
            </w:pPr>
            <w:r>
              <w:t>All passwords bcrypt-hashed; PII encrypted AES-256-GCM at rest</w:t>
            </w:r>
          </w:p>
        </w:tc>
      </w:tr>
      <w:tr>
        <w:tc>
          <w:tcPr>
            <w:tcW w:type="dxa" w:w="3041"/>
          </w:tcPr>
          <w:p>
            <w:pPr>
              <w:spacing w:before="40" w:after="40"/>
            </w:pPr>
            <w:r>
              <w:t>NFR-05</w:t>
            </w:r>
          </w:p>
        </w:tc>
        <w:tc>
          <w:tcPr>
            <w:tcW w:type="dxa" w:w="3041"/>
          </w:tcPr>
          <w:p>
            <w:pPr>
              <w:spacing w:before="40" w:after="40"/>
            </w:pPr>
            <w:r>
              <w:t>Security</w:t>
            </w:r>
          </w:p>
        </w:tc>
        <w:tc>
          <w:tcPr>
            <w:tcW w:type="dxa" w:w="3041"/>
          </w:tcPr>
          <w:p>
            <w:pPr>
              <w:spacing w:before="40" w:after="40"/>
            </w:pPr>
            <w:r>
              <w:t>HTTPS enforced; HSTS header sent on all responses over TLS</w:t>
            </w:r>
          </w:p>
        </w:tc>
      </w:tr>
      <w:tr>
        <w:tc>
          <w:tcPr>
            <w:tcW w:type="dxa" w:w="3041"/>
          </w:tcPr>
          <w:p>
            <w:pPr>
              <w:spacing w:before="40" w:after="40"/>
            </w:pPr>
            <w:r>
              <w:t>NFR-06</w:t>
            </w:r>
          </w:p>
        </w:tc>
        <w:tc>
          <w:tcPr>
            <w:tcW w:type="dxa" w:w="3041"/>
          </w:tcPr>
          <w:p>
            <w:pPr>
              <w:spacing w:before="40" w:after="40"/>
            </w:pPr>
            <w:r>
              <w:t>Security</w:t>
            </w:r>
          </w:p>
        </w:tc>
        <w:tc>
          <w:tcPr>
            <w:tcW w:type="dxa" w:w="3041"/>
          </w:tcPr>
          <w:p>
            <w:pPr>
              <w:spacing w:before="40" w:after="40"/>
            </w:pPr>
            <w:r>
              <w:t>CSRF tokens required on all state-changing form submissions</w:t>
            </w:r>
          </w:p>
        </w:tc>
      </w:tr>
      <w:tr>
        <w:tc>
          <w:tcPr>
            <w:tcW w:type="dxa" w:w="3041"/>
          </w:tcPr>
          <w:p>
            <w:pPr>
              <w:spacing w:before="40" w:after="40"/>
            </w:pPr>
            <w:r>
              <w:t>NFR-07</w:t>
            </w:r>
          </w:p>
        </w:tc>
        <w:tc>
          <w:tcPr>
            <w:tcW w:type="dxa" w:w="3041"/>
          </w:tcPr>
          <w:p>
            <w:pPr>
              <w:spacing w:before="40" w:after="40"/>
            </w:pPr>
            <w:r>
              <w:t>Security</w:t>
            </w:r>
          </w:p>
        </w:tc>
        <w:tc>
          <w:tcPr>
            <w:tcW w:type="dxa" w:w="3041"/>
          </w:tcPr>
          <w:p>
            <w:pPr>
              <w:spacing w:before="40" w:after="40"/>
            </w:pPr>
            <w:r>
              <w:t>API rate limiting: 120 requests/minute per IP/token</w:t>
            </w:r>
          </w:p>
        </w:tc>
      </w:tr>
      <w:tr>
        <w:tc>
          <w:tcPr>
            <w:tcW w:type="dxa" w:w="3041"/>
          </w:tcPr>
          <w:p>
            <w:pPr>
              <w:spacing w:before="40" w:after="40"/>
            </w:pPr>
            <w:r>
              <w:t>NFR-08</w:t>
            </w:r>
          </w:p>
        </w:tc>
        <w:tc>
          <w:tcPr>
            <w:tcW w:type="dxa" w:w="3041"/>
          </w:tcPr>
          <w:p>
            <w:pPr>
              <w:spacing w:before="40" w:after="40"/>
            </w:pPr>
            <w:r>
              <w:t>Compliance</w:t>
            </w:r>
          </w:p>
        </w:tc>
        <w:tc>
          <w:tcPr>
            <w:tcW w:type="dxa" w:w="3041"/>
          </w:tcPr>
          <w:p>
            <w:pPr>
              <w:spacing w:before="40" w:after="40"/>
            </w:pPr>
            <w:r>
              <w:t>GDPR Art. 15, 16, 17, 20, 21 rights supported</w:t>
            </w:r>
          </w:p>
        </w:tc>
      </w:tr>
      <w:tr>
        <w:tc>
          <w:tcPr>
            <w:tcW w:type="dxa" w:w="3041"/>
          </w:tcPr>
          <w:p>
            <w:pPr>
              <w:spacing w:before="40" w:after="40"/>
            </w:pPr>
            <w:r>
              <w:t>NFR-09</w:t>
            </w:r>
          </w:p>
        </w:tc>
        <w:tc>
          <w:tcPr>
            <w:tcW w:type="dxa" w:w="3041"/>
          </w:tcPr>
          <w:p>
            <w:pPr>
              <w:spacing w:before="40" w:after="40"/>
            </w:pPr>
            <w:r>
              <w:t>Usability</w:t>
            </w:r>
          </w:p>
        </w:tc>
        <w:tc>
          <w:tcPr>
            <w:tcW w:type="dxa" w:w="3041"/>
          </w:tcPr>
          <w:p>
            <w:pPr>
              <w:spacing w:before="40" w:after="40"/>
            </w:pPr>
            <w:r>
              <w:t>Responsive design supporting mobile (≥ 375px) and desktop</w:t>
            </w:r>
          </w:p>
        </w:tc>
      </w:tr>
      <w:tr>
        <w:tc>
          <w:tcPr>
            <w:tcW w:type="dxa" w:w="3041"/>
          </w:tcPr>
          <w:p>
            <w:pPr>
              <w:spacing w:before="40" w:after="40"/>
            </w:pPr>
            <w:r>
              <w:t>NFR-10</w:t>
            </w:r>
          </w:p>
        </w:tc>
        <w:tc>
          <w:tcPr>
            <w:tcW w:type="dxa" w:w="3041"/>
          </w:tcPr>
          <w:p>
            <w:pPr>
              <w:spacing w:before="40" w:after="40"/>
            </w:pPr>
            <w:r>
              <w:t>Maintainability</w:t>
            </w:r>
          </w:p>
        </w:tc>
        <w:tc>
          <w:tcPr>
            <w:tcW w:type="dxa" w:w="3041"/>
          </w:tcPr>
          <w:p>
            <w:pPr>
              <w:spacing w:before="40" w:after="40"/>
            </w:pPr>
            <w:r>
              <w:t xml:space="preserve">All API changes version-namespaced under </w:t>
            </w:r>
            <w:r>
              <w:rPr>
                <w:rFonts w:ascii="Courier New" w:hAnsi="Courier New"/>
                <w:color w:val="D63384"/>
                <w:sz w:val="18"/>
              </w:rPr>
              <w:t>/api/v1/</w:t>
            </w:r>
          </w:p>
        </w:tc>
      </w:tr>
    </w:tbl>
    <w:p/>
    <w:p>
      <w:pPr>
        <w:spacing w:before="80" w:after="80"/>
        <w:pBdr>
          <w:bottom w:val="single" w:sz="6" w:space="1" w:color="DEE2E6"/>
        </w:pBdr>
      </w:pPr>
      <w:r>
        <w:br/>
      </w:r>
    </w:p>
    <w:p>
      <w:pPr>
        <w:spacing w:before="40" w:after="40"/>
      </w:pPr>
      <w:r>
        <w:rPr>
          <w:i/>
        </w:rPr>
        <w:t>End of Functional Requirements Specification</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