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Hermex Log</w:t>
      </w:r>
    </w:p>
    <w:p>
      <w:pPr>
        <w:pStyle w:val="Heading2"/>
      </w:pPr>
      <w:r>
        <w:rPr/>
        <w:t xml:space="preserve">Relatório Executivo de Processos, Dados e IA</w:t>
      </w:r>
    </w:p>
    <w:p>
      <w:pPr/>
      <w:r>
        <w:rPr>
          <w:b/>
        </w:rPr>
        <w:t xml:space="preserve">Projeto:</w:t>
      </w:r>
      <w:r>
        <w:rPr/>
        <w:t xml:space="preserve"> Carreira Especialista em IA — Nível 1 </w:t>
      </w:r>
      <w:r>
        <w:rPr>
          <w:b/>
        </w:rPr>
        <w:t xml:space="preserve">Organização:</w:t>
      </w:r>
      <w:r>
        <w:rPr/>
        <w:t xml:space="preserve"> Hermex Log </w:t>
      </w:r>
      <w:r>
        <w:rPr>
          <w:b/>
        </w:rPr>
        <w:t xml:space="preserve">Versão:</w:t>
      </w:r>
      <w:r>
        <w:rPr/>
        <w:t xml:space="preserve"> 1.0 </w:t>
      </w:r>
      <w:r>
        <w:rPr>
          <w:b/>
        </w:rPr>
        <w:t xml:space="preserve">Data:</w:t>
      </w:r>
      <w:r>
        <w:rPr/>
        <w:t xml:space="preserve"> 20/08/2026 </w:t>
      </w:r>
      <w:r>
        <w:rPr>
          <w:b/>
        </w:rPr>
        <w:t xml:space="preserve">Status:</w:t>
      </w:r>
      <w:r>
        <w:rPr/>
        <w:t xml:space="preserve"> Material consolidado para entrega</w:t>
      </w:r>
    </w:p>
    <w:p>
      <w:pPr/>
      <w:r>
        <w:rPr/>
        <w:t xml:space="preserve">Este documento reúne o desenho do pós-venda, as regras de negócio, a especificação do dashboard, a base de conhecimento e a governança necessária para uso responsável de automações e modelos de linguagem.</w:t>
      </w:r>
    </w:p>
    <w:p>
      <w:r>
        <w:br w:type="page"/>
      </w:r>
    </w:p>
    <w:p>
      <w:pPr>
        <w:pStyle w:val="Heading1"/>
      </w:pPr>
      <w:r>
        <w:rPr/>
        <w:t xml:space="preserve">Sumário executivo</w:t>
      </w:r>
    </w:p>
    <w:p>
      <w:pPr>
        <w:pStyle w:val="Heading3"/>
      </w:pPr>
      <w:r>
        <w:rPr/>
        <w:t xml:space="preserve">Objetivo</w:t>
      </w:r>
    </w:p>
    <w:p>
      <w:pPr/>
      <w:r>
        <w:rPr/>
        <w:t xml:space="preserve">Organizar o pós-venda da Hermex Log em uma operação rastreável, com indicadores claros, conhecimento estruturado e pontos de aprovação humana para decisões críticas.</w:t>
      </w:r>
    </w:p>
    <w:p>
      <w:pPr>
        <w:pStyle w:val="Heading3"/>
      </w:pPr>
      <w:r>
        <w:rPr/>
        <w:t xml:space="preserve">Entregas consolidadas</w:t>
      </w:r>
    </w:p>
    <w:p>
      <w:pPr>
        <w:pStyle w:val="ListBullet"/>
      </w:pPr>
      <w:r>
        <w:rPr/>
        <w:t xml:space="preserve">Fluxo de handoff entre vendas e pós-venda</w:t>
      </w:r>
    </w:p>
    <w:p>
      <w:pPr>
        <w:pStyle w:val="ListBullet"/>
      </w:pPr>
      <w:r>
        <w:rPr/>
        <w:t xml:space="preserve">Regras de devolução, reembolso e SLA regional</w:t>
      </w:r>
    </w:p>
    <w:p>
      <w:pPr>
        <w:pStyle w:val="ListBullet"/>
      </w:pPr>
      <w:r>
        <w:rPr/>
        <w:t xml:space="preserve">Dashboard especificado para Looker Studio</w:t>
      </w:r>
    </w:p>
    <w:p>
      <w:pPr>
        <w:pStyle w:val="ListBullet"/>
      </w:pPr>
      <w:r>
        <w:rPr/>
        <w:t xml:space="preserve">Base de conhecimento estruturada para Notion</w:t>
      </w:r>
    </w:p>
    <w:p>
      <w:pPr>
        <w:pStyle w:val="ListBullet"/>
      </w:pPr>
      <w:r>
        <w:rPr/>
        <w:t xml:space="preserve">Governança de dados e conhecimento para futuras automações</w:t>
      </w:r>
    </w:p>
    <w:p>
      <w:pPr>
        <w:pStyle w:val="Heading3"/>
      </w:pPr>
      <w:r>
        <w:rPr/>
        <w:t xml:space="preserve">Resultado esperado</w:t>
      </w:r>
    </w:p>
    <w:p>
      <w:pPr/>
      <w:r>
        <w:rPr/>
        <w:t xml:space="preserve">Com a separação entre dados operacionais e documentação semântica, a Hermex Log consegue medir a operação, explicar suas regras e reduzir o risco de respostas incorretas ou alucinações em chatbots.</w:t>
      </w:r>
    </w:p>
    <w:p>
      <w:pPr>
        <w:pStyle w:val="Heading3"/>
      </w:pPr>
      <w:r>
        <w:rPr/>
        <w:t xml:space="preserve">Guia de leitura</w:t>
      </w:r>
    </w:p>
    <w:p>
      <w:pPr>
        <w:pStyle w:val="ListNumber"/>
      </w:pPr>
      <w:r>
        <w:rPr/>
        <w:t xml:space="preserve">Regras e decisão de negócio</w:t>
      </w:r>
    </w:p>
    <w:p>
      <w:pPr>
        <w:pStyle w:val="ListNumber"/>
      </w:pPr>
      <w:r>
        <w:rPr/>
        <w:t xml:space="preserve">Fluxo do processo pós-venda</w:t>
      </w:r>
    </w:p>
    <w:p>
      <w:pPr>
        <w:pStyle w:val="ListNumber"/>
      </w:pPr>
      <w:r>
        <w:rPr/>
        <w:t xml:space="preserve">Instruções para Looker Studio</w:t>
      </w:r>
    </w:p>
    <w:p>
      <w:pPr>
        <w:pStyle w:val="ListNumber"/>
      </w:pPr>
      <w:r>
        <w:rPr/>
        <w:t xml:space="preserve">Estrutura no Notion</w:t>
      </w:r>
    </w:p>
    <w:p>
      <w:pPr>
        <w:pStyle w:val="ListNumber"/>
      </w:pPr>
      <w:r>
        <w:rPr/>
        <w:t xml:space="preserve">Governança de dados</w:t>
      </w:r>
    </w:p>
    <w:p>
      <w:pPr>
        <w:pStyle w:val="ListNumber"/>
      </w:pPr>
      <w:r>
        <w:rPr/>
        <w:t xml:space="preserve">Arquitetura de governança e checklist final</w:t>
      </w:r>
    </w:p>
    <w:p>
      <w:r>
        <w:br w:type="page"/>
      </w:r>
    </w:p>
    <w:p>
      <w:pPr>
        <w:pStyle w:val="Heading1"/>
      </w:pPr>
      <w:r>
        <w:rPr/>
        <w:t xml:space="preserve">Relatório Final — Hermex Log</w:t>
      </w:r>
    </w:p>
    <w:p>
      <w:pPr>
        <w:pStyle w:val="Heading2"/>
      </w:pPr>
      <w:r>
        <w:rPr/>
        <w:t xml:space="preserve">1. Contexto e objetivo</w:t>
      </w:r>
    </w:p>
    <w:p>
      <w:pPr/>
      <w:r>
        <w:rPr/>
        <w:t xml:space="preserve">Este documento consolida o processo operacional de pós-venda da Hermex Log, incluindo regras de SLA, handoff de vendas para pós-venda, gestão de NPS, dashboard em Looker Studio, documentação no Notion e governança de dados para IA e automação.</w:t>
      </w:r>
    </w:p>
    <w:p>
      <w:pPr/>
      <w:r>
        <w:rPr/>
        <w:t xml:space="preserve">A entrega foi organizada para funcionar como material final de apresentação e como base para implementação em Google Sheets, Looker Studio, Notion e bloco de notas.</w:t>
      </w:r>
    </w:p>
    <w:p>
      <w:pPr/>
      <w:r>
        <w:rPr/>
        <w:t xml:space="preserve">---</w:t>
      </w:r>
    </w:p>
    <w:p>
      <w:pPr>
        <w:pStyle w:val="Heading2"/>
      </w:pPr>
      <w:r>
        <w:rPr/>
        <w:t xml:space="preserve">2. Regras e decisão de negócio</w:t>
      </w:r>
    </w:p>
    <w:p>
      <w:pPr>
        <w:pStyle w:val="Heading3"/>
      </w:pPr>
      <w:r>
        <w:rPr/>
        <w:t xml:space="preserve">2.1 SLA de entrega por região</w:t>
      </w:r>
    </w:p>
    <w:p>
      <w:pPr>
        <w:pStyle w:val="ListBullet"/>
      </w:pPr>
      <w:r>
        <w:rPr/>
        <w:t xml:space="preserve">Sudeste: 2 a 5 dias</w:t>
      </w:r>
    </w:p>
    <w:p>
      <w:pPr>
        <w:pStyle w:val="ListBullet"/>
      </w:pPr>
      <w:r>
        <w:rPr/>
        <w:t xml:space="preserve">Sul: 3 a 6 dias</w:t>
      </w:r>
    </w:p>
    <w:p>
      <w:pPr>
        <w:pStyle w:val="ListBullet"/>
      </w:pPr>
      <w:r>
        <w:rPr/>
        <w:t xml:space="preserve">Centro-Oeste: 4 a 7 dias</w:t>
      </w:r>
    </w:p>
    <w:p>
      <w:pPr>
        <w:pStyle w:val="ListBullet"/>
      </w:pPr>
      <w:r>
        <w:rPr/>
        <w:t xml:space="preserve">Nordeste: 6 a 12 dias</w:t>
      </w:r>
    </w:p>
    <w:p>
      <w:pPr>
        <w:pStyle w:val="ListBullet"/>
      </w:pPr>
      <w:r>
        <w:rPr/>
        <w:t xml:space="preserve">Norte: 8 a 16 dias</w:t>
      </w:r>
    </w:p>
    <w:p>
      <w:pPr>
        <w:pStyle w:val="Heading3"/>
      </w:pPr>
      <w:r>
        <w:rPr/>
        <w:t xml:space="preserve">2.2 Política de devolução</w:t>
      </w:r>
    </w:p>
    <w:p>
      <w:pPr>
        <w:pStyle w:val="ListBullet"/>
      </w:pPr>
      <w:r>
        <w:rPr/>
        <w:t xml:space="preserve">Prazo de devolução: até 7 dias corridos após o recebimento</w:t>
      </w:r>
    </w:p>
    <w:p>
      <w:pPr>
        <w:pStyle w:val="ListBullet"/>
      </w:pPr>
      <w:r>
        <w:rPr/>
        <w:t xml:space="preserve">Condições do produto: deve estar conforme a entrega inicial, com itens e acessórios</w:t>
      </w:r>
    </w:p>
    <w:p>
      <w:pPr>
        <w:pStyle w:val="ListBullet"/>
      </w:pPr>
      <w:r>
        <w:rPr/>
        <w:t xml:space="preserve">Processo: solicitação do cliente, validação humana, acompanhamento do pós-vendas e instruções de envio</w:t>
      </w:r>
    </w:p>
    <w:p>
      <w:pPr>
        <w:pStyle w:val="ListBullet"/>
      </w:pPr>
      <w:r>
        <w:rPr/>
        <w:t xml:space="preserve">Reembolso: sujeito à conferência e aprovação de responsável</w:t>
      </w:r>
    </w:p>
    <w:p>
      <w:pPr>
        <w:pStyle w:val="Heading3"/>
      </w:pPr>
      <w:r>
        <w:rPr/>
        <w:t xml:space="preserve">2.3 Processo de reembolso</w:t>
      </w:r>
    </w:p>
    <w:p>
      <w:pPr>
        <w:pStyle w:val="ListBullet"/>
      </w:pPr>
      <w:r>
        <w:rPr/>
        <w:t xml:space="preserve">A solicitação é registrada pelo pós-vendas</w:t>
      </w:r>
    </w:p>
    <w:p>
      <w:pPr>
        <w:pStyle w:val="ListBullet"/>
      </w:pPr>
      <w:r>
        <w:rPr/>
        <w:t xml:space="preserve">A análise da elegibilidade é feita por responsável qualificado</w:t>
      </w:r>
    </w:p>
    <w:p>
      <w:pPr>
        <w:pStyle w:val="ListBullet"/>
      </w:pPr>
      <w:r>
        <w:rPr/>
        <w:t xml:space="preserve">O status é informado ao cliente</w:t>
      </w:r>
    </w:p>
    <w:p>
      <w:pPr>
        <w:pStyle w:val="ListBullet"/>
      </w:pPr>
      <w:r>
        <w:rPr/>
        <w:t xml:space="preserve">O reembolso é processado em até 10 dias úteis</w:t>
      </w:r>
    </w:p>
    <w:p>
      <w:pPr>
        <w:pStyle w:val="ListBullet"/>
      </w:pPr>
      <w:r>
        <w:rPr/>
        <w:t xml:space="preserve">Exceções e recusas precisam de justificativa documentada</w:t>
      </w:r>
    </w:p>
    <w:p>
      <w:pPr>
        <w:pStyle w:val="Heading3"/>
      </w:pPr>
      <w:r>
        <w:rPr/>
        <w:t xml:space="preserve">2.4 Regras do NPS</w:t>
      </w:r>
    </w:p>
    <w:p>
      <w:pPr>
        <w:pStyle w:val="ListBullet"/>
      </w:pPr>
      <w:r>
        <w:rPr/>
        <w:t xml:space="preserve">Promotores: nota maior que 8</w:t>
      </w:r>
    </w:p>
    <w:p>
      <w:pPr>
        <w:pStyle w:val="ListBullet"/>
      </w:pPr>
      <w:r>
        <w:rPr/>
        <w:t xml:space="preserve">Detratores: nota menor que 7</w:t>
      </w:r>
    </w:p>
    <w:p>
      <w:pPr>
        <w:pStyle w:val="ListBullet"/>
      </w:pPr>
      <w:r>
        <w:rPr/>
        <w:t xml:space="preserve">NPS: (promotores / total) - (detratores / total)</w:t>
      </w:r>
    </w:p>
    <w:p>
      <w:pPr>
        <w:pStyle w:val="ListBullet"/>
      </w:pPr>
      <w:r>
        <w:rPr/>
        <w:t xml:space="preserve">Formato recomendado: percentual ou índice de -100 a 100, conforme convenção da visão do dashboard</w:t>
      </w:r>
    </w:p>
    <w:p>
      <w:pPr>
        <w:pStyle w:val="Heading3"/>
      </w:pPr>
      <w:r>
        <w:rPr/>
        <w:t xml:space="preserve">2.5 Criticidade do handoff</w:t>
      </w:r>
    </w:p>
    <w:p>
      <w:pPr/>
      <w:r>
        <w:rPr/>
        <w:t xml:space="preserve">O handoff entre vendas e pós-venda é o ponto crítico do processo porque concentra:</w:t>
      </w:r>
    </w:p>
    <w:p>
      <w:pPr>
        <w:pStyle w:val="ListBullet"/>
      </w:pPr>
      <w:r>
        <w:rPr/>
        <w:t xml:space="preserve">repetitividade</w:t>
      </w:r>
    </w:p>
    <w:p>
      <w:pPr>
        <w:pStyle w:val="ListBullet"/>
      </w:pPr>
      <w:r>
        <w:rPr/>
        <w:t xml:space="preserve">regras claras</w:t>
      </w:r>
    </w:p>
    <w:p>
      <w:pPr>
        <w:pStyle w:val="ListBullet"/>
      </w:pPr>
      <w:r>
        <w:rPr/>
        <w:t xml:space="preserve">transferência de informações entre equipes</w:t>
      </w:r>
    </w:p>
    <w:p>
      <w:pPr>
        <w:pStyle w:val="ListBullet"/>
      </w:pPr>
      <w:r>
        <w:rPr/>
        <w:t xml:space="preserve">rastreabilidade</w:t>
      </w:r>
    </w:p>
    <w:p>
      <w:pPr>
        <w:pStyle w:val="ListBullet"/>
      </w:pPr>
      <w:r>
        <w:rPr/>
        <w:t xml:space="preserve">exigência de ação humana em casos críticos</w:t>
      </w:r>
    </w:p>
    <w:p>
      <w:pPr/>
      <w:r>
        <w:rPr/>
        <w:t xml:space="preserve">---</w:t>
      </w:r>
    </w:p>
    <w:p>
      <w:pPr>
        <w:pStyle w:val="Heading2"/>
      </w:pPr>
      <w:r>
        <w:rPr/>
        <w:t xml:space="preserve">3. Fluxo do processo pós-venda</w:t>
      </w:r>
    </w:p>
    <w:p>
      <w:pPr>
        <w:pStyle w:val="Heading3"/>
      </w:pPr>
      <w:r>
        <w:rPr/>
        <w:t xml:space="preserve">3.1 Visão operacional</w:t>
      </w:r>
    </w:p>
    <w:p>
      <w:pPr>
        <w:pStyle w:val="ListNumber"/>
      </w:pPr>
      <w:r>
        <w:rPr/>
        <w:t xml:space="preserve">O pedido é registrado e repassado para o pós-venda</w:t>
      </w:r>
    </w:p>
    <w:p>
      <w:pPr>
        <w:pStyle w:val="ListNumber"/>
      </w:pPr>
      <w:r>
        <w:rPr/>
        <w:t xml:space="preserve">O responsável confirma a entrega e inicia o acompanhamento</w:t>
      </w:r>
    </w:p>
    <w:p>
      <w:pPr>
        <w:pStyle w:val="ListNumber"/>
      </w:pPr>
      <w:r>
        <w:rPr/>
        <w:t xml:space="preserve">A equipe valida o status da entrega e o prazo</w:t>
      </w:r>
    </w:p>
    <w:p>
      <w:pPr>
        <w:pStyle w:val="ListNumber"/>
      </w:pPr>
      <w:r>
        <w:rPr/>
        <w:t xml:space="preserve">A pesquisa de satisfação é enviada ao cliente</w:t>
      </w:r>
    </w:p>
    <w:p>
      <w:pPr>
        <w:pStyle w:val="ListNumber"/>
      </w:pPr>
      <w:r>
        <w:rPr/>
        <w:t xml:space="preserve">A resposta é classificada por categoria</w:t>
      </w:r>
    </w:p>
    <w:p>
      <w:pPr>
        <w:pStyle w:val="ListNumber"/>
      </w:pPr>
      <w:r>
        <w:rPr/>
        <w:t xml:space="preserve">Quando houver insatisfação, o caso é escalado para revisão humana</w:t>
      </w:r>
    </w:p>
    <w:p>
      <w:pPr>
        <w:pStyle w:val="ListNumber"/>
      </w:pPr>
      <w:r>
        <w:rPr/>
        <w:t xml:space="preserve">O processo conclui com registro, acerto de SLA e conhecimento estruturado</w:t>
      </w:r>
    </w:p>
    <w:p>
      <w:pPr>
        <w:pStyle w:val="Heading3"/>
      </w:pPr>
      <w:r>
        <w:rPr/>
        <w:t xml:space="preserve">3.2 Principais decisões do fluxo</w:t>
      </w:r>
    </w:p>
    <w:p>
      <w:pPr>
        <w:pStyle w:val="ListBullet"/>
      </w:pPr>
      <w:r>
        <w:rPr/>
        <w:t xml:space="preserve">Se a entrega foi confirmada: seguir para pesquisa</w:t>
      </w:r>
    </w:p>
    <w:p>
      <w:pPr>
        <w:pStyle w:val="ListBullet"/>
      </w:pPr>
      <w:r>
        <w:rPr/>
        <w:t xml:space="preserve">Se o cliente não confirmou: repetir acompanhamento</w:t>
      </w:r>
    </w:p>
    <w:p>
      <w:pPr>
        <w:pStyle w:val="ListBullet"/>
      </w:pPr>
      <w:r>
        <w:rPr/>
        <w:t xml:space="preserve">Se a nota for baixa: encaminhar para análise e intervenção</w:t>
      </w:r>
    </w:p>
    <w:p>
      <w:pPr>
        <w:pStyle w:val="ListBullet"/>
      </w:pPr>
      <w:r>
        <w:rPr/>
        <w:t xml:space="preserve">Se houver retorno ou devolução: aplicar política de devolução e reembolso</w:t>
      </w:r>
    </w:p>
    <w:p>
      <w:pPr/>
      <w:r>
        <w:rPr/>
        <w:t xml:space="preserve">---</w:t>
      </w:r>
    </w:p>
    <w:p>
      <w:pPr>
        <w:pStyle w:val="Heading2"/>
      </w:pPr>
      <w:r>
        <w:rPr/>
        <w:t xml:space="preserve">4. Instruções para Looker Studio</w:t>
      </w:r>
    </w:p>
    <w:p>
      <w:pPr/>
      <w:r>
        <w:rPr/>
        <w:t xml:space="preserve">Conecte a planilha </w:t>
      </w:r>
      <w:r>
        <w:rPr/>
        <w:t xml:space="preserve">pesquisa_satisfacao</w:t>
      </w:r>
      <w:r>
        <w:rPr/>
        <w:t xml:space="preserve"> do Google Sheets como fonte de dados.</w:t>
      </w:r>
    </w:p>
    <w:p>
      <w:pPr>
        <w:pStyle w:val="Heading3"/>
      </w:pPr>
      <w:r>
        <w:rPr/>
        <w:t xml:space="preserve">4.1 Ajustes de tipos</w:t>
      </w:r>
    </w:p>
    <w:p>
      <w:pPr>
        <w:pStyle w:val="ListBullet"/>
      </w:pPr>
      <w:r>
        <w:rPr/>
        <w:t xml:space="preserve">estado</w:t>
      </w:r>
      <w:r>
        <w:rPr/>
        <w:t xml:space="preserve">: tipo geográfico, subdivisão de país nível 1</w:t>
      </w:r>
    </w:p>
    <w:p>
      <w:pPr>
        <w:pStyle w:val="ListBullet"/>
      </w:pPr>
      <w:r>
        <w:rPr/>
        <w:t xml:space="preserve">data_pedido</w:t>
      </w:r>
      <w:r>
        <w:rPr/>
        <w:t xml:space="preserve">: data</w:t>
      </w:r>
    </w:p>
    <w:p>
      <w:pPr>
        <w:pStyle w:val="ListBullet"/>
      </w:pPr>
      <w:r>
        <w:rPr/>
        <w:t xml:space="preserve">data_envio</w:t>
      </w:r>
      <w:r>
        <w:rPr/>
        <w:t xml:space="preserve">: data</w:t>
      </w:r>
    </w:p>
    <w:p>
      <w:pPr>
        <w:pStyle w:val="ListBullet"/>
      </w:pPr>
      <w:r>
        <w:rPr/>
        <w:t xml:space="preserve">data_recebimento</w:t>
      </w:r>
      <w:r>
        <w:rPr/>
        <w:t xml:space="preserve">: data</w:t>
      </w:r>
    </w:p>
    <w:p>
      <w:pPr>
        <w:pStyle w:val="ListBullet"/>
      </w:pPr>
      <w:r>
        <w:rPr/>
        <w:t xml:space="preserve">nota_nps</w:t>
      </w:r>
      <w:r>
        <w:rPr/>
        <w:t xml:space="preserve">: número</w:t>
      </w:r>
    </w:p>
    <w:p>
      <w:pPr>
        <w:pStyle w:val="Heading3"/>
      </w:pPr>
      <w:r>
        <w:rPr/>
        <w:t xml:space="preserve">4.2 Campos calculados</w:t>
      </w:r>
    </w:p>
    <w:p>
      <w:pPr/>
      <w:r>
        <w:rPr/>
        <w:t xml:space="preserve"/>
      </w:r>
      <w:r>
        <w:rPr/>
        <w:t xml:space="preserve">text Promotores: IF(nota_nps &gt; 8, 1, 0) Detratores: IF(nota_nps &lt; 7, 1, 0) NPS: (SUM(Promotores)/COUNT(nota_nps)) - (SUM(Detratores)/COUNT(nota_nps)) Dias até envio: DATE_DIFF(data_envio, data_pedido) Dias até entrega: DATE_DIFF(data_recebimento, data_pedido) </w:t>
      </w:r>
      <w:r>
        <w:rPr/>
        <w:t xml:space="preserve"/>
      </w:r>
    </w:p>
    <w:p>
      <w:pPr/>
      <w:r>
        <w:rPr/>
        <w:t xml:space="preserve">Observação: o NPS deve ser formatado como porcentagem ou em pontos, conforme a convenção escolhida para o dashboard.</w:t>
      </w:r>
    </w:p>
    <w:p>
      <w:pPr>
        <w:pStyle w:val="Heading3"/>
      </w:pPr>
      <w:r>
        <w:rPr/>
        <w:t xml:space="preserve">4.3 Dashboard mínimo exigido</w:t>
      </w:r>
    </w:p>
    <w:p>
      <w:pPr>
        <w:pStyle w:val="Heading3"/>
      </w:pPr>
      <w:r>
        <w:rPr/>
        <w:t xml:space="preserve">(a) Scorecard</w:t>
      </w:r>
    </w:p>
    <w:p>
      <w:pPr>
        <w:pStyle w:val="ListBullet"/>
      </w:pPr>
      <w:r>
        <w:rPr/>
        <w:t xml:space="preserve">NPS geral</w:t>
      </w:r>
    </w:p>
    <w:p>
      <w:pPr>
        <w:pStyle w:val="ListBullet"/>
      </w:pPr>
      <w:r>
        <w:rPr/>
        <w:t xml:space="preserve">total de promotores</w:t>
      </w:r>
    </w:p>
    <w:p>
      <w:pPr>
        <w:pStyle w:val="ListBullet"/>
      </w:pPr>
      <w:r>
        <w:rPr/>
        <w:t xml:space="preserve">total de detratores</w:t>
      </w:r>
    </w:p>
    <w:p>
      <w:pPr>
        <w:pStyle w:val="Heading3"/>
      </w:pPr>
      <w:r>
        <w:rPr/>
        <w:t xml:space="preserve">(b) Mapa do Brasil</w:t>
      </w:r>
    </w:p>
    <w:p>
      <w:pPr>
        <w:pStyle w:val="ListBullet"/>
      </w:pPr>
      <w:r>
        <w:rPr/>
        <w:t xml:space="preserve">cor por NPS médio por estado</w:t>
      </w:r>
    </w:p>
    <w:p>
      <w:pPr>
        <w:pStyle w:val="ListBullet"/>
      </w:pPr>
      <w:r>
        <w:rPr/>
        <w:t xml:space="preserve">azul para valores altos</w:t>
      </w:r>
    </w:p>
    <w:p>
      <w:pPr>
        <w:pStyle w:val="ListBullet"/>
      </w:pPr>
      <w:r>
        <w:rPr/>
        <w:t xml:space="preserve">vermelho para valores baixos</w:t>
      </w:r>
    </w:p>
    <w:p>
      <w:pPr>
        <w:pStyle w:val="Heading3"/>
      </w:pPr>
      <w:r>
        <w:rPr/>
        <w:t xml:space="preserve">(c) Gráfico de barras</w:t>
      </w:r>
    </w:p>
    <w:p>
      <w:pPr>
        <w:pStyle w:val="ListBullet"/>
      </w:pPr>
      <w:r>
        <w:rPr/>
        <w:t xml:space="preserve">média de dias até entrega por estado</w:t>
      </w:r>
    </w:p>
    <w:p>
      <w:pPr>
        <w:pStyle w:val="Heading3"/>
      </w:pPr>
      <w:r>
        <w:rPr/>
        <w:t xml:space="preserve">(d) Tabela analítica</w:t>
      </w:r>
    </w:p>
    <w:p>
      <w:pPr>
        <w:pStyle w:val="ListBullet"/>
      </w:pPr>
      <w:r>
        <w:rPr/>
        <w:t xml:space="preserve">estado</w:t>
      </w:r>
    </w:p>
    <w:p>
      <w:pPr>
        <w:pStyle w:val="ListBullet"/>
      </w:pPr>
      <w:r>
        <w:rPr/>
        <w:t xml:space="preserve">quantidade de respostas</w:t>
      </w:r>
    </w:p>
    <w:p>
      <w:pPr>
        <w:pStyle w:val="ListBullet"/>
      </w:pPr>
      <w:r>
        <w:rPr/>
        <w:t xml:space="preserve">NPS</w:t>
      </w:r>
    </w:p>
    <w:p>
      <w:pPr>
        <w:pStyle w:val="ListBullet"/>
      </w:pPr>
      <w:r>
        <w:rPr/>
        <w:t xml:space="preserve">média de dias até envio</w:t>
      </w:r>
    </w:p>
    <w:p>
      <w:pPr>
        <w:pStyle w:val="ListBullet"/>
      </w:pPr>
      <w:r>
        <w:rPr/>
        <w:t xml:space="preserve">média de dias até entrega</w:t>
      </w:r>
    </w:p>
    <w:p>
      <w:pPr/>
      <w:r>
        <w:rPr/>
        <w:t xml:space="preserve">---</w:t>
      </w:r>
    </w:p>
    <w:p>
      <w:pPr>
        <w:pStyle w:val="Heading2"/>
      </w:pPr>
      <w:r>
        <w:rPr/>
        <w:t xml:space="preserve">5. Estrutura no Notion</w:t>
      </w:r>
    </w:p>
    <w:p>
      <w:pPr/>
      <w:r>
        <w:rPr/>
        <w:t xml:space="preserve">Crie um banco de dados chamado </w:t>
      </w:r>
      <w:r>
        <w:rPr/>
        <w:t xml:space="preserve">Processos Hermex Log</w:t>
      </w:r>
      <w:r>
        <w:rPr/>
        <w:t xml:space="preserve"> com pelo menos três páginas:</w:t>
      </w:r>
    </w:p>
    <w:p>
      <w:pPr>
        <w:pStyle w:val="ListNumber"/>
      </w:pPr>
      <w:r>
        <w:rPr/>
        <w:t xml:space="preserve">Política de Devolução</w:t>
      </w:r>
    </w:p>
    <w:p>
      <w:pPr>
        <w:pStyle w:val="ListNumber"/>
      </w:pPr>
      <w:r>
        <w:rPr/>
        <w:t xml:space="preserve">Processo de Reembolso</w:t>
      </w:r>
    </w:p>
    <w:p>
      <w:pPr>
        <w:pStyle w:val="ListNumber"/>
      </w:pPr>
      <w:r>
        <w:rPr/>
        <w:t xml:space="preserve">SLA de Entrega por Região</w:t>
      </w:r>
    </w:p>
    <w:p>
      <w:pPr>
        <w:pStyle w:val="Heading3"/>
      </w:pPr>
      <w:r>
        <w:rPr/>
        <w:t xml:space="preserve">5.1 Política de Devolução</w:t>
      </w:r>
    </w:p>
    <w:p>
      <w:pPr/>
      <w:r>
        <w:rPr/>
        <w:t xml:space="preserve">Descreva em linguagem natural:</w:t>
      </w:r>
    </w:p>
    <w:p>
      <w:pPr>
        <w:pStyle w:val="ListBullet"/>
      </w:pPr>
      <w:r>
        <w:rPr/>
        <w:t xml:space="preserve">prazo de 7 dias</w:t>
      </w:r>
    </w:p>
    <w:p>
      <w:pPr>
        <w:pStyle w:val="ListBullet"/>
      </w:pPr>
      <w:r>
        <w:rPr/>
        <w:t xml:space="preserve">condições do produto</w:t>
      </w:r>
    </w:p>
    <w:p>
      <w:pPr>
        <w:pStyle w:val="ListBullet"/>
      </w:pPr>
      <w:r>
        <w:rPr/>
        <w:t xml:space="preserve">processo de solicitação</w:t>
      </w:r>
    </w:p>
    <w:p>
      <w:pPr>
        <w:pStyle w:val="ListBullet"/>
      </w:pPr>
      <w:r>
        <w:rPr/>
        <w:t xml:space="preserve">confirmação humana</w:t>
      </w:r>
    </w:p>
    <w:p>
      <w:pPr>
        <w:pStyle w:val="ListBullet"/>
      </w:pPr>
      <w:r>
        <w:rPr/>
        <w:t xml:space="preserve">rastreabilidade da decisão</w:t>
      </w:r>
    </w:p>
    <w:p>
      <w:pPr>
        <w:pStyle w:val="Heading3"/>
      </w:pPr>
      <w:r>
        <w:rPr/>
        <w:t xml:space="preserve">5.2 Processo de Reembolso</w:t>
      </w:r>
    </w:p>
    <w:p>
      <w:pPr/>
      <w:r>
        <w:rPr/>
        <w:t xml:space="preserve">Descreva:</w:t>
      </w:r>
    </w:p>
    <w:p>
      <w:pPr>
        <w:pStyle w:val="ListBullet"/>
      </w:pPr>
      <w:r>
        <w:rPr/>
        <w:t xml:space="preserve">etapas do processo</w:t>
      </w:r>
    </w:p>
    <w:p>
      <w:pPr>
        <w:pStyle w:val="ListBullet"/>
      </w:pPr>
      <w:r>
        <w:rPr/>
        <w:t xml:space="preserve">prazo máximo de até 10 dias úteis</w:t>
      </w:r>
    </w:p>
    <w:p>
      <w:pPr>
        <w:pStyle w:val="ListBullet"/>
      </w:pPr>
      <w:r>
        <w:rPr/>
        <w:t xml:space="preserve">critérios de aprovação</w:t>
      </w:r>
    </w:p>
    <w:p>
      <w:pPr>
        <w:pStyle w:val="ListBullet"/>
      </w:pPr>
      <w:r>
        <w:rPr/>
        <w:t xml:space="preserve">status e comunicação ao cliente</w:t>
      </w:r>
    </w:p>
    <w:p>
      <w:pPr>
        <w:pStyle w:val="ListBullet"/>
      </w:pPr>
      <w:r>
        <w:rPr/>
        <w:t xml:space="preserve">rastreabilidade e justificativa</w:t>
      </w:r>
    </w:p>
    <w:p>
      <w:pPr>
        <w:pStyle w:val="Heading3"/>
      </w:pPr>
      <w:r>
        <w:rPr/>
        <w:t xml:space="preserve">5.3 SLA de Entrega por Região</w:t>
      </w:r>
    </w:p>
    <w:p>
      <w:pPr>
        <w:pStyle w:val="ListBullet"/>
      </w:pPr>
      <w:r>
        <w:rPr/>
        <w:t xml:space="preserve">Sudeste: 2-5 dias</w:t>
      </w:r>
    </w:p>
    <w:p>
      <w:pPr>
        <w:pStyle w:val="ListBullet"/>
      </w:pPr>
      <w:r>
        <w:rPr/>
        <w:t xml:space="preserve">Sul: 3-6 dias</w:t>
      </w:r>
    </w:p>
    <w:p>
      <w:pPr>
        <w:pStyle w:val="ListBullet"/>
      </w:pPr>
      <w:r>
        <w:rPr/>
        <w:t xml:space="preserve">Centro-Oeste: 4-7 dias</w:t>
      </w:r>
    </w:p>
    <w:p>
      <w:pPr>
        <w:pStyle w:val="ListBullet"/>
      </w:pPr>
      <w:r>
        <w:rPr/>
        <w:t xml:space="preserve">Nordeste: 6-12 dias</w:t>
      </w:r>
    </w:p>
    <w:p>
      <w:pPr>
        <w:pStyle w:val="ListBullet"/>
      </w:pPr>
      <w:r>
        <w:rPr/>
        <w:t xml:space="preserve">Norte: 8-16 dias</w:t>
      </w:r>
    </w:p>
    <w:p>
      <w:pPr/>
      <w:r>
        <w:rPr/>
        <w:t xml:space="preserve">---</w:t>
      </w:r>
    </w:p>
    <w:p>
      <w:pPr>
        <w:pStyle w:val="Heading2"/>
      </w:pPr>
      <w:r>
        <w:rPr/>
        <w:t xml:space="preserve">6. Governança de dados</w:t>
      </w:r>
    </w:p>
    <w:p>
      <w:pPr>
        <w:pStyle w:val="Heading3"/>
      </w:pPr>
      <w:r>
        <w:rPr/>
        <w:t xml:space="preserve">6.1 Responsáveis pela atualização de cada base</w:t>
      </w:r>
    </w:p>
    <w:p>
      <w:pPr/>
      <w:r>
        <w:rPr/>
        <w:t xml:space="preserve">Usando a lógica da Matriz RACI:</w:t>
      </w:r>
    </w:p>
    <w:p>
      <w:pPr>
        <w:pStyle w:val="ListBullet"/>
      </w:pPr>
      <w:r>
        <w:rPr/>
        <w:t xml:space="preserve">José: responsável pelo SLA e atualização da base de prazos</w:t>
      </w:r>
    </w:p>
    <w:p>
      <w:pPr>
        <w:pStyle w:val="ListBullet"/>
      </w:pPr>
      <w:r>
        <w:rPr/>
        <w:t xml:space="preserve">João: responsável pelo pós-venda, devolução e reembolso</w:t>
      </w:r>
    </w:p>
    <w:p>
      <w:pPr>
        <w:pStyle w:val="ListBullet"/>
      </w:pPr>
      <w:r>
        <w:rPr/>
        <w:t xml:space="preserve">Pedro: responsável pelo dashboard e indicadores</w:t>
      </w:r>
    </w:p>
    <w:p>
      <w:pPr>
        <w:pStyle w:val="ListBullet"/>
      </w:pPr>
      <w:r>
        <w:rPr/>
        <w:t xml:space="preserve">Paulo: responsável pela base de conhecimento no Notion</w:t>
      </w:r>
    </w:p>
    <w:p>
      <w:pPr>
        <w:pStyle w:val="ListBullet"/>
      </w:pPr>
      <w:r>
        <w:rPr/>
        <w:t xml:space="preserve">Liderança: aprova mudanças e regras de negócio críticas</w:t>
      </w:r>
    </w:p>
    <w:p>
      <w:pPr>
        <w:pStyle w:val="Heading3"/>
      </w:pPr>
      <w:r>
        <w:rPr/>
        <w:t xml:space="preserve">6.2 Frequência de revisão</w:t>
      </w:r>
    </w:p>
    <w:p>
      <w:pPr>
        <w:pStyle w:val="ListBullet"/>
      </w:pPr>
      <w:r>
        <w:rPr/>
        <w:t xml:space="preserve">SLA: mensal e sempre que houver mudança logística</w:t>
      </w:r>
    </w:p>
    <w:p>
      <w:pPr>
        <w:pStyle w:val="ListBullet"/>
      </w:pPr>
      <w:r>
        <w:rPr/>
        <w:t xml:space="preserve">Pós-venda/devolução: mensal e após incidentes relevantes</w:t>
      </w:r>
    </w:p>
    <w:p>
      <w:pPr>
        <w:pStyle w:val="ListBullet"/>
      </w:pPr>
      <w:r>
        <w:rPr/>
        <w:t xml:space="preserve">Dashboard: revisão semanal ou mensal, conforme volume de dados</w:t>
      </w:r>
    </w:p>
    <w:p>
      <w:pPr>
        <w:pStyle w:val="ListBullet"/>
      </w:pPr>
      <w:r>
        <w:rPr/>
        <w:t xml:space="preserve">Notion: revisão mensal e após alterações de processo</w:t>
      </w:r>
    </w:p>
    <w:p>
      <w:pPr>
        <w:pStyle w:val="Heading3"/>
      </w:pPr>
      <w:r>
        <w:rPr/>
        <w:t xml:space="preserve">6.3 Riscos se a base ficar desatualizada</w:t>
      </w:r>
    </w:p>
    <w:p>
      <w:pPr>
        <w:pStyle w:val="ListBullet"/>
      </w:pPr>
      <w:r>
        <w:rPr/>
        <w:t xml:space="preserve">respostas incorretas de chatbots</w:t>
      </w:r>
    </w:p>
    <w:p>
      <w:pPr>
        <w:pStyle w:val="ListBullet"/>
      </w:pPr>
      <w:r>
        <w:rPr/>
        <w:t xml:space="preserve">alucinação por modelos de linguagem</w:t>
      </w:r>
    </w:p>
    <w:p>
      <w:pPr>
        <w:pStyle w:val="ListBullet"/>
      </w:pPr>
      <w:r>
        <w:rPr/>
        <w:t xml:space="preserve">promessas inconsistentes de prazo</w:t>
      </w:r>
    </w:p>
    <w:p>
      <w:pPr>
        <w:pStyle w:val="ListBullet"/>
      </w:pPr>
      <w:r>
        <w:rPr/>
        <w:t xml:space="preserve">tomada de decisão operacional errada</w:t>
      </w:r>
    </w:p>
    <w:p>
      <w:pPr>
        <w:pStyle w:val="ListBullet"/>
      </w:pPr>
      <w:r>
        <w:rPr/>
        <w:t xml:space="preserve">perda de confiança do cliente</w:t>
      </w:r>
    </w:p>
    <w:p>
      <w:pPr>
        <w:pStyle w:val="ListBullet"/>
      </w:pPr>
      <w:r>
        <w:rPr/>
        <w:t xml:space="preserve">falhas em reembolso e devolução</w:t>
      </w:r>
    </w:p>
    <w:p>
      <w:pPr>
        <w:pStyle w:val="Heading3"/>
      </w:pPr>
      <w:r>
        <w:rPr/>
        <w:t xml:space="preserve">6.4 Por que dados semânticos são mais eficazes que dados operacionais brutos</w:t>
      </w:r>
    </w:p>
    <w:p>
      <w:pPr/>
      <w:r>
        <w:rPr/>
        <w:t xml:space="preserve">Dados semânticos, como textos interpretados, explicam regra, contexto, exceções e responsabilidade. Isso é mais útil para modelos de linguagem porque:</w:t>
      </w:r>
    </w:p>
    <w:p>
      <w:pPr>
        <w:pStyle w:val="ListBullet"/>
      </w:pPr>
      <w:r>
        <w:rPr/>
        <w:t xml:space="preserve">melhora a recuperação contextual</w:t>
      </w:r>
    </w:p>
    <w:p>
      <w:pPr>
        <w:pStyle w:val="ListBullet"/>
      </w:pPr>
      <w:r>
        <w:rPr/>
        <w:t xml:space="preserve">reduz ambiguidades e interpretações erradas</w:t>
      </w:r>
    </w:p>
    <w:p>
      <w:pPr>
        <w:pStyle w:val="ListBullet"/>
      </w:pPr>
      <w:r>
        <w:rPr/>
        <w:t xml:space="preserve">preserva a lógica de negócio em linguagem natural</w:t>
      </w:r>
    </w:p>
    <w:p>
      <w:pPr>
        <w:pStyle w:val="ListBullet"/>
      </w:pPr>
      <w:r>
        <w:rPr/>
        <w:t xml:space="preserve">viabiliza resposta coerente em automações e chatbots</w:t>
      </w:r>
    </w:p>
    <w:p>
      <w:pPr>
        <w:pStyle w:val="ListBullet"/>
      </w:pPr>
      <w:r>
        <w:rPr/>
        <w:t xml:space="preserve">complementa dados operacionais, que continuam importantes para métricas e auditoria</w:t>
      </w:r>
    </w:p>
    <w:p>
      <w:pPr/>
      <w:r>
        <w:rPr/>
        <w:t xml:space="preserve">---</w:t>
      </w:r>
    </w:p>
    <w:p>
      <w:pPr>
        <w:pStyle w:val="Heading2"/>
      </w:pPr>
      <w:r>
        <w:rPr/>
        <w:t xml:space="preserve">7. Arquitetura de governança sugerida</w:t>
      </w:r>
    </w:p>
    <w:p>
      <w:pPr>
        <w:pStyle w:val="ListBullet"/>
      </w:pPr>
      <w:r>
        <w:rPr/>
        <w:t xml:space="preserve">manter a base operacional em planilhas ou sistemas estruturados</w:t>
      </w:r>
    </w:p>
    <w:p>
      <w:pPr>
        <w:pStyle w:val="ListBullet"/>
      </w:pPr>
      <w:r>
        <w:rPr/>
        <w:t xml:space="preserve">manter a interpretação do processo em documentação semântica</w:t>
      </w:r>
    </w:p>
    <w:p>
      <w:pPr>
        <w:pStyle w:val="ListBullet"/>
      </w:pPr>
      <w:r>
        <w:rPr/>
        <w:t xml:space="preserve">revisar os dados com frequência</w:t>
      </w:r>
    </w:p>
    <w:p>
      <w:pPr>
        <w:pStyle w:val="ListBullet"/>
      </w:pPr>
      <w:r>
        <w:rPr/>
        <w:t xml:space="preserve">separar regras de negócio de métricas operacionais</w:t>
      </w:r>
    </w:p>
    <w:p>
      <w:pPr>
        <w:pStyle w:val="ListBullet"/>
      </w:pPr>
      <w:r>
        <w:rPr/>
        <w:t xml:space="preserve">exigir aprovação humana em decisões críticas</w:t>
      </w:r>
    </w:p>
    <w:p>
      <w:pPr/>
      <w:r>
        <w:rPr/>
        <w:t xml:space="preserve">---</w:t>
      </w:r>
    </w:p>
    <w:p>
      <w:pPr>
        <w:pStyle w:val="Heading2"/>
      </w:pPr>
      <w:r>
        <w:rPr/>
        <w:t xml:space="preserve">8. Evidências e conclusão</w:t>
      </w:r>
    </w:p>
    <w:p>
      <w:pPr/>
      <w:r>
        <w:rPr/>
        <w:t xml:space="preserve">A solução combina:</w:t>
      </w:r>
    </w:p>
    <w:p>
      <w:pPr>
        <w:pStyle w:val="ListBullet"/>
      </w:pPr>
      <w:r>
        <w:rPr/>
        <w:t xml:space="preserve">base de dados operacional</w:t>
      </w:r>
    </w:p>
    <w:p>
      <w:pPr>
        <w:pStyle w:val="ListBullet"/>
      </w:pPr>
      <w:r>
        <w:rPr/>
        <w:t xml:space="preserve">visualização analítica</w:t>
      </w:r>
    </w:p>
    <w:p>
      <w:pPr>
        <w:pStyle w:val="ListBullet"/>
      </w:pPr>
      <w:r>
        <w:rPr/>
        <w:t xml:space="preserve">documentação de processo</w:t>
      </w:r>
    </w:p>
    <w:p>
      <w:pPr>
        <w:pStyle w:val="ListBullet"/>
      </w:pPr>
      <w:r>
        <w:rPr/>
        <w:t xml:space="preserve">governança de conhecimento</w:t>
      </w:r>
    </w:p>
    <w:p>
      <w:pPr>
        <w:pStyle w:val="ListBullet"/>
      </w:pPr>
      <w:r>
        <w:rPr/>
        <w:t xml:space="preserve">regras de decisão humanamente revisadas</w:t>
      </w:r>
    </w:p>
    <w:p>
      <w:pPr/>
      <w:r>
        <w:rPr/>
        <w:t xml:space="preserve">Esse conjunto permite que a operação Hermes Log funcione com mais previsibilidade, sustentabilidade e menor risco de erro em automações e respostas de IA.</w:t>
      </w:r>
    </w:p>
    <w:p>
      <w:pPr/>
      <w:r>
        <w:rPr/>
        <w:t xml:space="preserve">---</w:t>
      </w:r>
    </w:p>
    <w:p>
      <w:pPr>
        <w:pStyle w:val="Heading2"/>
      </w:pPr>
      <w:r>
        <w:rPr/>
        <w:t xml:space="preserve">9. Checklist final</w:t>
      </w:r>
    </w:p>
    <w:p>
      <w:pPr>
        <w:pStyle w:val="ListBullet"/>
      </w:pPr>
      <w:r>
        <w:rPr/>
        <w:t xml:space="preserve">[x] Conectar a planilha de pesquisa de satisfação ao Looker Studio</w:t>
      </w:r>
    </w:p>
    <w:p>
      <w:pPr>
        <w:pStyle w:val="ListBullet"/>
      </w:pPr>
      <w:r>
        <w:rPr/>
        <w:t xml:space="preserve">[x] Ajustar tipos de campo</w:t>
      </w:r>
    </w:p>
    <w:p>
      <w:pPr>
        <w:pStyle w:val="ListBullet"/>
      </w:pPr>
      <w:r>
        <w:rPr/>
        <w:t xml:space="preserve">[x] Criar campos calculados de NPS e prazos</w:t>
      </w:r>
    </w:p>
    <w:p>
      <w:pPr>
        <w:pStyle w:val="ListBullet"/>
      </w:pPr>
      <w:r>
        <w:rPr/>
        <w:t xml:space="preserve">[x] Montar dashboard com no mínimo 4 visualizações</w:t>
      </w:r>
    </w:p>
    <w:p>
      <w:pPr>
        <w:pStyle w:val="ListBullet"/>
      </w:pPr>
      <w:r>
        <w:rPr/>
        <w:t xml:space="preserve">[x] Criar base no Notion com as páginas exigidas</w:t>
      </w:r>
    </w:p>
    <w:p>
      <w:pPr>
        <w:pStyle w:val="ListBullet"/>
      </w:pPr>
      <w:r>
        <w:rPr/>
        <w:t xml:space="preserve">[x] Redigir governança de dados com responsabilidades, revisão e riscos</w:t>
      </w:r>
    </w:p>
    <w:p>
      <w:pPr>
        <w:pStyle w:val="ListBullet"/>
      </w:pPr>
      <w:r>
        <w:rPr/>
        <w:t xml:space="preserve">[x] Documentar vantagem dos dados semânticos sobre dados brutos</w:t>
      </w:r>
    </w:p>
    <w:p>
      <w:pPr>
        <w:pStyle w:val="ListBullet"/>
      </w:pPr>
      <w:r>
        <w:rPr/>
        <w:t xml:space="preserve">[x] Preparar material em Word para entrega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</w:style>
  <w:style w:type="paragraph" w:styleId="Heading1">
    <w:name w:val="heading 1"/>
    <w:basedOn w:val="Normal"/>
    <w:next w:val="Normal"/>
    <w:rPr>
      <w:b/>
      <w:sz w:val="32"/>
    </w:rPr>
  </w:style>
  <w:style w:type="paragraph" w:styleId="Heading2">
    <w:name w:val="heading 2"/>
    <w:basedOn w:val="Normal"/>
    <w:next w:val="Normal"/>
    <w:rPr>
      <w:b/>
      <w:sz w:val="28"/>
    </w:rPr>
  </w:style>
  <w:style w:type="paragraph" w:styleId="Heading3">
    <w:name w:val="heading 3"/>
    <w:basedOn w:val="Normal"/>
    <w:next w:val="Normal"/>
    <w:rPr>
      <w:b/>
      <w:sz w:val="24"/>
    </w:rPr>
  </w:style>
  <w:style w:type="paragraph" w:styleId="ListBullet">
    <w:name w:val="List Bullet"/>
    <w:basedOn w:val="Normal"/>
    <w:pPr>
      <w:ind w:left="360" w:hanging="180"/>
    </w:pPr>
  </w:style>
  <w:style w:type="paragraph" w:styleId="ListNumber">
    <w:name w:val="List Number"/>
    <w:basedOn w:val="Normal"/>
    <w:pPr>
      <w:ind w:left="360" w:hanging="18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