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52"/>
            <w:shd w:fill="0F3557"/>
            <w:tcMar>
              <w:top w:w="520" w:type="dxa"/>
              <w:start w:w="420" w:type="dxa"/>
              <w:bottom w:w="520" w:type="dxa"/>
              <w:end w:w="4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A3D6F2"/>
                <w:sz w:val="20"/>
              </w:rPr>
              <w:t>BYTEBANK  ·  ESPECIALISTA EM IA NÍVEL 2</w:t>
              <w:br/>
            </w:r>
            <w:r>
              <w:rPr>
                <w:rFonts w:ascii="Aptos Display" w:hAnsi="Aptos Display"/>
                <w:b/>
                <w:color w:val="FFFFFF"/>
                <w:sz w:val="62"/>
              </w:rPr>
              <w:t>Relatório de Levantamento</w:t>
              <w:br/>
            </w:r>
            <w:r>
              <w:rPr>
                <w:rFonts w:ascii="Aptos" w:hAnsi="Aptos"/>
                <w:color w:val="E7F4FB"/>
                <w:sz w:val="26"/>
              </w:rPr>
              <w:t>Requisitos, lacunas, decisões e controles</w:t>
            </w:r>
          </w:p>
        </w:tc>
      </w:tr>
    </w:tbl>
    <w:p>
      <w:pPr>
        <w:spacing w:before="480"/>
      </w:pPr>
      <w:r>
        <w:rPr>
          <w:b/>
        </w:rPr>
        <w:t>DESAFIO DE PORTFÓLIO</w:t>
        <w:br/>
      </w:r>
      <w:r>
        <w:t>Governança · RAG · ChromaDB · Multiagentes · A2A · MCP · HITL</w:t>
        <w:br/>
      </w:r>
      <w:r>
        <w:rPr>
          <w:color w:val="0F5A8A"/>
        </w:rPr>
        <w:t>22 de agosto de 2026</w:t>
      </w:r>
    </w:p>
    <w:p>
      <w:pPr>
        <w:pStyle w:val="Caption"/>
      </w:pPr>
      <w:r>
        <w:t>Documento de projeto fictício. Não contém dados reais de clientes nem credenciais.</w:t>
      </w:r>
    </w:p>
    <w:p>
      <w:r>
        <w:br w:type="page"/>
      </w:r>
    </w:p>
    <w:p>
      <w:r>
        <w:rPr>
          <w:b/>
        </w:rPr>
        <w:t xml:space="preserve">Data: 22/08/2026  </w:t>
      </w:r>
    </w:p>
    <w:p>
      <w:r>
        <w:rPr>
          <w:b/>
        </w:rPr>
        <w:t>Escopo: quatro etapas do desafio Especialista em IA Nível 2</w:t>
      </w:r>
    </w:p>
    <w:p>
      <w:pPr>
        <w:pStyle w:val="Heading2"/>
      </w:pPr>
      <w:r>
        <w:t>Objetivo do levantamento</w:t>
      </w:r>
    </w:p>
    <w:p>
      <w:r>
        <w:t>Identificar o que cada entregável exige, localizar as evidências existentes e transformar lacunas em critérios verificáveis, sem usar dados reais ou expor credenciais.</w:t>
      </w:r>
    </w:p>
    <w:p>
      <w:pPr>
        <w:pStyle w:val="Heading2"/>
      </w:pPr>
      <w:r>
        <w:t>Requisitos consolidados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557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Entregável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557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Conteúdo obrigatório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557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Critério de conclusão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Governança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papéis, responsabilidades, senioridade, carreira em Y, ética, LGPD e LLM Ops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texto versionado + três abas preenchidas na planilha Google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Arquitetura RAG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fluxo ponta a ponta, embeddings, vector store, filtros, metadados e glossário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Mermaid + SVG legível + ADR + 15 termos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Pipeline RAG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50 políticas, chunking, metadados, embeddings, Chroma, recuperação, reranking e avaliação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índice persistente, testes e CSV comparativo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Multiagente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supervisor, três agentes, A2A, MCP, memórias, HITL e portfólio</w:t>
            </w:r>
          </w:p>
        </w:tc>
        <w:tc>
          <w:tcPr>
            <w:tcW w:type="dxa" w:w="3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grafo executável, servidor MCP, diagrama e README</w:t>
            </w:r>
          </w:p>
        </w:tc>
      </w:tr>
    </w:tbl>
    <w:p>
      <w:pPr>
        <w:spacing w:after="20"/>
      </w:pPr>
    </w:p>
    <w:p>
      <w:pPr>
        <w:pStyle w:val="Heading2"/>
      </w:pPr>
      <w:r>
        <w:t>Inventário inicial e lacunas</w:t>
      </w:r>
    </w:p>
    <w:p>
      <w:r>
        <w:t>O repositório já continha dataset fictício, documentos de arquitetura, protótipos Python, Mermaid e CSVs de governança. As lacunas que impediam avaliação completa eram:</w:t>
      </w:r>
    </w:p>
    <w:p>
      <w:pPr>
        <w:pStyle w:val="ListNumber"/>
      </w:pPr>
      <w:r>
        <w:t>a planilha Google tinha três abas vazias e nomes genéricos;</w:t>
      </w:r>
    </w:p>
    <w:p>
      <w:pPr>
        <w:pStyle w:val="ListNumber"/>
      </w:pPr>
      <w:r>
        <w:t>query() ainda usava somente sobreposição lexical, apesar da função Chroma existir isolada;</w:t>
      </w:r>
    </w:p>
    <w:p>
      <w:pPr>
        <w:pStyle w:val="ListNumber"/>
      </w:pPr>
      <w:r>
        <w:t>o filtro nivel_acesso não era aplicado antes da recuperação;</w:t>
      </w:r>
    </w:p>
    <w:p>
      <w:pPr>
        <w:pStyle w:val="ListNumber"/>
      </w:pPr>
      <w:r>
        <w:t>o supervisor classificava somente por palavras-chave;</w:t>
      </w:r>
    </w:p>
    <w:p>
      <w:pPr>
        <w:pStyle w:val="ListNumber"/>
      </w:pPr>
      <w:r>
        <w:t>o MCP não implementava criar_conta nem recursos URI para saldo/fatura;</w:t>
      </w:r>
    </w:p>
    <w:p>
      <w:pPr>
        <w:pStyle w:val="ListNumber"/>
      </w:pPr>
      <w:r>
        <w:t>diagramas não tinham exportação visual incorporada ao README;</w:t>
      </w:r>
    </w:p>
    <w:p>
      <w:pPr>
        <w:pStyle w:val="ListNumber"/>
      </w:pPr>
      <w:r>
        <w:t>a avaliação Gemini não tinha dependência instalada nem evidência atual;</w:t>
      </w:r>
    </w:p>
    <w:p>
      <w:pPr>
        <w:pStyle w:val="ListNumber"/>
      </w:pPr>
      <w:r>
        <w:t>faltava relatório de levantamento e o DOCX existente não possuía hierarquia/tabelas nativas adequadas;</w:t>
      </w:r>
    </w:p>
    <w:p>
      <w:pPr>
        <w:pStyle w:val="ListNumber"/>
      </w:pPr>
      <w:r>
        <w:t>análises e revisões descreviam pendências externas já superadas.</w:t>
      </w:r>
    </w:p>
    <w:p>
      <w:pPr>
        <w:pStyle w:val="Heading2"/>
      </w:pPr>
      <w:r>
        <w:t>Decisões do levantamento</w:t>
      </w:r>
    </w:p>
    <w:p>
      <w:pPr>
        <w:pStyle w:val="ListBullet"/>
      </w:pPr>
      <w:r>
        <w:t>Manter todo conteúdo bancário fictício e usar acesso publico como padrão.</w:t>
      </w:r>
    </w:p>
    <w:p>
      <w:pPr>
        <w:pStyle w:val="ListBullet"/>
      </w:pPr>
      <w:r>
        <w:t>Integrar Chroma nativamente ao caminho principal e persistir em outputs/chroma_db.</w:t>
      </w:r>
    </w:p>
    <w:p>
      <w:pPr>
        <w:pStyle w:val="ListBullet"/>
      </w:pPr>
      <w:r>
        <w:t>Usar embeddings locais offline e fusão de rankings para melhor cobertura em português.</w:t>
      </w:r>
    </w:p>
    <w:p>
      <w:pPr>
        <w:pStyle w:val="ListBullet"/>
      </w:pPr>
      <w:r>
        <w:t>Ativar Gemini somente por .env, registrando modelo, modos e fallbacks.</w:t>
      </w:r>
    </w:p>
    <w:p>
      <w:pPr>
        <w:pStyle w:val="ListBullet"/>
      </w:pPr>
      <w:r>
        <w:t>Usar classificação Gemini estruturada no supervisor, com fallback determinístico.</w:t>
      </w:r>
    </w:p>
    <w:p>
      <w:pPr>
        <w:pStyle w:val="ListBullet"/>
      </w:pPr>
      <w:r>
        <w:t>Separar A2A (agente-agente) de MCP (agente-capacidade) e bloquear mutações com HITL.</w:t>
      </w:r>
    </w:p>
    <w:p>
      <w:pPr>
        <w:pStyle w:val="ListBullet"/>
      </w:pPr>
      <w:r>
        <w:t>Versionar o CSV de avaliação, mas não o banco Chroma nem a credencial.</w:t>
      </w:r>
    </w:p>
    <w:p>
      <w:pPr>
        <w:pStyle w:val="ListBullet"/>
      </w:pPr>
      <w:r>
        <w:t>Publicar diagramas em SVG para leitura direta no GitHub e Pages.</w:t>
      </w:r>
    </w:p>
    <w:p>
      <w:pPr>
        <w:pStyle w:val="Heading2"/>
      </w:pPr>
      <w:r>
        <w:t>Riscos e controles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557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557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Controle aplicado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Exposição de chave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.env ignorado; nenhuma saída imprime o valor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Política interna em resposta pública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filtro de metadata antes do retriever + teste dedicado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Alucinação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contexto exclusivo, citações, fontes e resposta segura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Quota/indisponibilidade Gemini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fallback identificado por componente no CSV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Mutação bancária indevida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aprovação humana obrigatória + core não configurado por padrão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Documento inconsistente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geração DOCX a partir do Markdown e inspeção visual de todas as páginas</w:t>
            </w:r>
          </w:p>
        </w:tc>
      </w:tr>
    </w:tbl>
    <w:p>
      <w:pPr>
        <w:spacing w:after="20"/>
      </w:pPr>
    </w:p>
    <w:p>
      <w:pPr>
        <w:pStyle w:val="Heading2"/>
      </w:pPr>
      <w:r>
        <w:t>Critério de saída</w:t>
      </w:r>
    </w:p>
    <w:p>
      <w:r>
        <w:t>O levantamento é encerrado quando os quatro entregáveis têm evidência local e externa, os testes passam, a planilha está preenchida e verificada, os relatórios estão disponíveis em Markdown e DOCX e a entrega está pronta para revisão em PR sem merge automático.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F5A8A"/>
        <w:sz w:val="16"/>
      </w:rPr>
      <w:t>BYTEBANK  /  AI ECOSYSTEM     LEVANTAMENTO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63A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5A8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5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5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5A8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Levantamento · Bytebank Nível 2</dc:title>
  <dc:subject>Entregáveis do desafio Especialista em IA Nível 2</dc:subject>
  <dc:creator>Projeto Bytebank AI Ecosystem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