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7A5A00"/>
          <w:sz w:val="22"/>
        </w:rPr>
        <w:t>GUIA DA POC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60"/>
        </w:rPr>
        <w:t>GeoAI Mentor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Manual do usuário, testes e operação local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Escopo: </w:t>
            </w:r>
            <w:r>
              <w:rPr>
                <w:rFonts w:ascii="Calibri" w:hAnsi="Calibri"/>
                <w:color w:val="0B2545"/>
                <w:sz w:val="21"/>
              </w:rPr>
              <w:t>prova de conceito para dois participantes. O ambiente local está funcional; Entra ID, App Service e PostgreSQL descrevem a próxima implantação e ainda não estão provisionados.</w:t>
            </w:r>
          </w:p>
        </w:tc>
      </w:tr>
    </w:tbl>
    <w:p>
      <w:pPr>
        <w:spacing w:before="840"/>
        <w:jc w:val="center"/>
      </w:pPr>
      <w:r>
        <w:rPr>
          <w:rFonts w:ascii="Calibri" w:hAnsi="Calibri"/>
          <w:b/>
          <w:color w:val="5B6573"/>
          <w:sz w:val="22"/>
        </w:rPr>
        <w:t>Versão 1.0  |  17 de agosto de 2026</w:t>
      </w:r>
    </w:p>
    <w:p>
      <w:pPr>
        <w:jc w:val="center"/>
      </w:pPr>
      <w:r>
        <w:rPr>
          <w:rFonts w:ascii="Calibri" w:hAnsi="Calibri"/>
          <w:color w:val="5B6573"/>
          <w:sz w:val="20"/>
        </w:rPr>
        <w:t>Início previsto do piloto: 24 de agosto de 2026</w:t>
      </w:r>
    </w:p>
    <w:p>
      <w:r>
        <w:br w:type="page"/>
      </w:r>
    </w:p>
    <w:p>
      <w:pPr>
        <w:pStyle w:val="Heading1"/>
      </w:pPr>
      <w:r>
        <w:t>1. Antes de começar</w:t>
      </w:r>
    </w:p>
    <w:p>
      <w:r>
        <w:t>Este manual orienta participantes e responsáveis pela POC na instalação, execução, validação e operação básica do GeoAI Mentor. Ele consolida o registro da implementação evolutiva e o roteiro de testes e custos do ambiente.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Importante: </w:t>
            </w:r>
            <w:r>
              <w:rPr>
                <w:rFonts w:ascii="Calibri" w:hAnsi="Calibri"/>
                <w:color w:val="0B2545"/>
                <w:sz w:val="21"/>
              </w:rPr>
              <w:t>o GeoAI Mentor produz orientação assistida por IA. Não use as respostas como decisão técnica, profissional ou institucional sem revisão humana.</w:t>
            </w:r>
          </w:p>
        </w:tc>
      </w:tr>
    </w:tbl>
    <w:p>
      <w:pPr>
        <w:pStyle w:val="Heading2"/>
      </w:pPr>
      <w:r>
        <w:t>O que já funciona</w:t>
      </w:r>
    </w:p>
    <w:p>
      <w:pPr>
        <w:pStyle w:val="ListBullet"/>
      </w:pPr>
      <w:r>
        <w:t>Interface web Streamlit e versão de terminal.</w:t>
      </w:r>
    </w:p>
    <w:p>
      <w:pPr>
        <w:pStyle w:val="ListBullet"/>
      </w:pPr>
      <w:r>
        <w:t>Conversas persistidas em SQLite: criar, listar, reabrir, renomear e excluir.</w:t>
      </w:r>
    </w:p>
    <w:p>
      <w:pPr>
        <w:pStyle w:val="ListBullet"/>
      </w:pPr>
      <w:r>
        <w:t>Memória por conversa, com isolamento entre identificadores.</w:t>
      </w:r>
    </w:p>
    <w:p>
      <w:pPr>
        <w:pStyle w:val="ListBullet"/>
      </w:pPr>
      <w:r>
        <w:t>RAG lexical local com dez fontes Markdown curadas em Analise/docsgeo.</w:t>
      </w:r>
    </w:p>
    <w:p>
      <w:pPr>
        <w:pStyle w:val="ListBullet"/>
      </w:pPr>
      <w:r>
        <w:t>Retenção configurável, backup local, limites da API e logs redigidos.</w:t>
      </w:r>
    </w:p>
    <w:p>
      <w:pPr>
        <w:pStyle w:val="ListBullet"/>
      </w:pPr>
      <w:r>
        <w:t>49 testes automatizados aprovados e cobertura total de 88,50%.</w:t>
      </w:r>
    </w:p>
    <w:p>
      <w:pPr>
        <w:pStyle w:val="Heading2"/>
      </w:pPr>
      <w:r>
        <w:t>O que ainda não está disponível</w:t>
      </w:r>
    </w:p>
    <w:p>
      <w:pPr>
        <w:pStyle w:val="ListBullet"/>
      </w:pPr>
      <w:r>
        <w:t>Login pelo Microsoft Entra ID e separação persistente por usuário autenticado.</w:t>
      </w:r>
    </w:p>
    <w:p>
      <w:pPr>
        <w:pStyle w:val="ListBullet"/>
      </w:pPr>
      <w:r>
        <w:t>Publicação no Azure App Service e banco Azure Database for PostgreSQL.</w:t>
      </w:r>
    </w:p>
    <w:p>
      <w:pPr>
        <w:pStyle w:val="ListBullet"/>
      </w:pPr>
      <w:r>
        <w:t>Bloqueio financeiro integral somando Azure e OpenAI.</w:t>
      </w:r>
    </w:p>
    <w:p>
      <w:pPr>
        <w:pStyle w:val="ListBullet"/>
      </w:pPr>
      <w:r>
        <w:t>Piloto real com os dois geocientistas e avaliação final das fontes institucionais.</w:t>
      </w:r>
    </w:p>
    <w:p>
      <w:r>
        <w:br w:type="page"/>
      </w:r>
    </w:p>
    <w:p>
      <w:pPr>
        <w:pStyle w:val="Heading1"/>
      </w:pPr>
      <w:r>
        <w:t>2. Preparar o ambiente</w:t>
      </w:r>
    </w:p>
    <w:p>
      <w:pPr>
        <w:pStyle w:val="Heading2"/>
      </w:pPr>
      <w:r>
        <w:t>Pré-requisitos</w:t>
      </w:r>
    </w:p>
    <w:p>
      <w:pPr>
        <w:pStyle w:val="ListBullet"/>
      </w:pPr>
      <w:r>
        <w:t>Windows com PowerShell.</w:t>
      </w:r>
    </w:p>
    <w:p>
      <w:pPr>
        <w:pStyle w:val="ListBullet"/>
      </w:pPr>
      <w:r>
        <w:t>Python 3.12 recomendado.</w:t>
      </w:r>
    </w:p>
    <w:p>
      <w:pPr>
        <w:pStyle w:val="ListBullet"/>
      </w:pPr>
      <w:r>
        <w:t>Chave válida da API OpenAI para testes com respostas reais.</w:t>
      </w:r>
    </w:p>
    <w:p>
      <w:pPr>
        <w:pStyle w:val="ListBullet"/>
      </w:pPr>
      <w:r>
        <w:t>Acesso à pasta E:\ProjAlura.</w:t>
      </w:r>
    </w:p>
    <w:p>
      <w:pPr>
        <w:pStyle w:val="Heading2"/>
      </w:pPr>
      <w:r>
        <w:t>Configuração inicial</w:t>
      </w:r>
    </w:p>
    <w:p>
      <w:pPr>
        <w:pStyle w:val="ListNumber"/>
        <w:numPr>
          <w:ilvl w:val="0"/>
          <w:numId w:val="10"/>
        </w:numPr>
      </w:pPr>
      <w:r>
        <w:t>Abra o PowerShell na pasta E:\ProjAlura.</w:t>
      </w:r>
    </w:p>
    <w:p>
      <w:pPr>
        <w:pStyle w:val="ListNumber"/>
        <w:numPr>
          <w:ilvl w:val="0"/>
          <w:numId w:val="10"/>
        </w:numPr>
      </w:pPr>
      <w:r>
        <w:t>Ative o ambiente virtual.</w:t>
      </w:r>
    </w:p>
    <w:p>
      <w:pPr>
        <w:pStyle w:val="ListNumber"/>
        <w:numPr>
          <w:ilvl w:val="0"/>
          <w:numId w:val="10"/>
        </w:numPr>
      </w:pPr>
      <w:r>
        <w:t>Instale as dependências de desenvolvimento.</w:t>
      </w:r>
    </w:p>
    <w:p>
      <w:pPr>
        <w:pStyle w:val="ListNumber"/>
        <w:numPr>
          <w:ilvl w:val="0"/>
          <w:numId w:val="10"/>
        </w:numPr>
      </w:pPr>
      <w:r>
        <w:t>Copie .env.example para .env e preencha somente a sua chave local.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E:\ProjAlura</w:t>
            </w:r>
            <w:r>
              <w:br/>
            </w:r>
            <w:r>
              <w:rPr>
                <w:rFonts w:ascii="Consolas" w:hAnsi="Consolas"/>
                <w:sz w:val="18"/>
              </w:rPr>
              <w:t>.venv\Scripts\Activate.ps1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requirements-dev.txt</w:t>
            </w:r>
            <w:r>
              <w:br/>
            </w:r>
            <w:r>
              <w:rPr>
                <w:rFonts w:ascii="Consolas" w:hAnsi="Consolas"/>
                <w:sz w:val="18"/>
              </w:rPr>
              <w:t>Copy-Item .env.example .env</w:t>
            </w:r>
          </w:p>
        </w:tc>
      </w:tr>
    </w:tbl>
    <w:p>
      <w:pPr>
        <w:pStyle w:val="Heading2"/>
      </w:pPr>
      <w:r>
        <w:t>Variáveis principais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Variável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Finalidade / padrão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OPENAI_API_KEY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Obrigatória para respostas reais; nunca versionar.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OPENAI_MODEL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Modelo de texto; padrão atual: gpt-5.6-sol.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GEOAI_DATABASE_PATH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Banco local; padrão: data/geoai_mentor.db.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GEOAI_KNOWLEDGE_PATH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Base RAG; padrão: Analise/docsgeo.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OPENAI_REQUEST_TIMEOUT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Tempo limite da chamada; padrão: 30 segundos.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OPENAI_MAX_OUTPUT_TOKENS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Máximo de saída; padrão: 1.200 tokens.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GEOAI_RETENTION_DAYS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Retenção local; padrão aprovado: 90 dias.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Segurança: </w:t>
            </w:r>
            <w:r>
              <w:rPr>
                <w:rFonts w:ascii="Calibri" w:hAnsi="Calibri"/>
                <w:color w:val="0B2545"/>
                <w:sz w:val="21"/>
              </w:rPr>
              <w:t>nunca cole a chave em código, captura de tela, relatório, mensagem ou Git. Se houver exposição, revogue-a e crie outra.</w:t>
            </w:r>
          </w:p>
        </w:tc>
      </w:tr>
    </w:tbl>
    <w:p>
      <w:pPr>
        <w:pStyle w:val="Heading1"/>
      </w:pPr>
      <w:r>
        <w:t>3. Testar antes de usar</w:t>
      </w:r>
    </w:p>
    <w:p>
      <w:pPr>
        <w:pStyle w:val="Heading2"/>
      </w:pPr>
      <w:r>
        <w:t>Teste automatizado</w:t>
      </w:r>
    </w:p>
    <w:p>
      <w:r>
        <w:t>A suíte padrão usa substitutos controlados e não deve realizar chamadas reais à OpenAI. Portanto, executar apenas o pytest não gera custo de API.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-m pytest -q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Critério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Testes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49 aprovados.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Cobertura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Pelo menos 85%; última medição: 88,50%.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API real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Nenhuma chamada nos testes padrão.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Concorrência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12 gravações em 4 workers, isoladas e completas.</w:t>
            </w:r>
          </w:p>
        </w:tc>
      </w:tr>
    </w:tbl>
    <w:p>
      <w:pPr>
        <w:pStyle w:val="Heading2"/>
      </w:pPr>
      <w:r>
        <w:t>Abrir a interface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streamlit run streamlit_app.py</w:t>
            </w:r>
          </w:p>
        </w:tc>
      </w:tr>
    </w:tbl>
    <w:p>
      <w:r>
        <w:t>O navegador deverá abrir automaticamente. Se não abrir, use o endereço local exibido no PowerShell, normalmente http://localhost:8501.</w:t>
      </w:r>
    </w:p>
    <w:p>
      <w:pPr>
        <w:pStyle w:val="Heading1"/>
      </w:pPr>
      <w:r>
        <w:t>4. Usar o GeoAI Mentor</w:t>
      </w:r>
    </w:p>
    <w:p>
      <w:pPr>
        <w:pStyle w:val="Heading2"/>
      </w:pPr>
      <w:r>
        <w:t>Conversa básica</w:t>
      </w:r>
    </w:p>
    <w:p>
      <w:pPr>
        <w:pStyle w:val="ListNumber"/>
        <w:numPr>
          <w:ilvl w:val="0"/>
          <w:numId w:val="11"/>
        </w:numPr>
      </w:pPr>
      <w:r>
        <w:t>Digite uma pergunta no campo de chat e envie.</w:t>
      </w:r>
    </w:p>
    <w:p>
      <w:pPr>
        <w:pStyle w:val="ListNumber"/>
        <w:numPr>
          <w:ilvl w:val="0"/>
          <w:numId w:val="11"/>
        </w:numPr>
      </w:pPr>
      <w:r>
        <w:t>Aguarde a resposta; durante chamadas reais pode haver consumo da API.</w:t>
      </w:r>
    </w:p>
    <w:p>
      <w:pPr>
        <w:pStyle w:val="ListNumber"/>
        <w:numPr>
          <w:ilvl w:val="0"/>
          <w:numId w:val="11"/>
        </w:numPr>
      </w:pPr>
      <w:r>
        <w:t>Faça uma pergunta complementar para verificar se o contexto foi preservado.</w:t>
      </w:r>
    </w:p>
    <w:p>
      <w:pPr>
        <w:pStyle w:val="ListNumber"/>
        <w:numPr>
          <w:ilvl w:val="0"/>
          <w:numId w:val="11"/>
        </w:numPr>
      </w:pPr>
      <w:r>
        <w:t>Confira as fontes quando a resposta utilizar a base RAG.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Exemplo de memória: </w:t>
            </w:r>
            <w:r>
              <w:rPr>
                <w:rFonts w:ascii="Calibri" w:hAnsi="Calibri"/>
                <w:color w:val="0B2545"/>
                <w:sz w:val="21"/>
              </w:rPr>
              <w:t>pergunte qual linguagem aprender primeiro; depois pergunte 'Que projeto posso criar com essa linguagem?'. A segunda resposta deve compreender a referência anterior.</w:t>
            </w:r>
          </w:p>
        </w:tc>
      </w:tr>
    </w:tbl>
    <w:p>
      <w:pPr>
        <w:pStyle w:val="Heading2"/>
        <w:pageBreakBefore/>
      </w:pPr>
      <w:r>
        <w:t>Gerenciar conversas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Ação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Como usar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Nova conversa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Use o comando correspondente na barra lateral.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Reabrir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Selecione uma conversa existente; o histórico volta à tela.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Renomear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Altere o título para facilitar a localização.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Excluir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Confirme a exclusão; as mensagens relacionadas são removidas em cascata.</w:t>
            </w:r>
          </w:p>
        </w:tc>
      </w:tr>
    </w:tbl>
    <w:p>
      <w:pPr>
        <w:pStyle w:val="Heading2"/>
      </w:pPr>
      <w:r>
        <w:t>Validar o RAG</w:t>
      </w:r>
    </w:p>
    <w:p>
      <w:r>
        <w:t>A recuperação pesquisa somente arquivos Markdown da pasta autorizada. Use perguntas ligadas aos temas dos dez documentos e confirme se a resposta identifica a fonte. Para um assunto sem evidência na base, o comportamento esperado é informar a ausência de suporte, sem inventar uma fonte.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Limite conhecido: </w:t>
            </w:r>
            <w:r>
              <w:rPr>
                <w:rFonts w:ascii="Calibri" w:hAnsi="Calibri"/>
                <w:color w:val="0B2545"/>
                <w:sz w:val="21"/>
              </w:rPr>
              <w:t>a busca é lexical, local e adequada à POC. Os dez documentos ainda precisam de aprovação institucional final antes de uso além do piloto.</w:t>
            </w:r>
          </w:p>
        </w:tc>
      </w:tr>
    </w:tbl>
    <w:p>
      <w:pPr>
        <w:pStyle w:val="Heading1"/>
      </w:pPr>
      <w:r>
        <w:t>5. Roteiro de validação da POC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800"/>
        <w:gridCol w:w="3880"/>
        <w:gridCol w:w="4680"/>
      </w:tblGrid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Etapa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Ação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Aceite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1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Executar pytest.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49 testes aprovados; cobertura &gt;= 85%.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2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Abrir o Streamlit.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Tela carrega sem revelar segredo.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3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Criar duas conversas.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Históricos não se misturam.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4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Reabrir e renomear.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Conteúdo e novo título permanecem.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5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Fazer pergunta coberta pelo RAG.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Resposta traz fonte pertinente.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6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Perguntar fora da base.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Sistema declara falta de evidência.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7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Excluir uma conversa.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Ela e suas mensagens deixam de aparecer.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8</w:t>
            </w:r>
          </w:p>
        </w:tc>
        <w:tc>
          <w:tcPr>
            <w:tcW w:type="dxa" w:w="3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Criar e verificar backup.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Arquivo restaurável é criado em backups/.</w:t>
            </w:r>
          </w:p>
        </w:tc>
      </w:tr>
    </w:tbl>
    <w:p>
      <w:pPr>
        <w:pStyle w:val="Heading2"/>
      </w:pPr>
      <w:r>
        <w:t>Feedback dos dois participantes</w:t>
      </w:r>
    </w:p>
    <w:p>
      <w:pPr>
        <w:pStyle w:val="ListBullet"/>
      </w:pPr>
      <w:r>
        <w:t>Utilidade percebida: meta média &gt;= 4/5.</w:t>
      </w:r>
    </w:p>
    <w:p>
      <w:pPr>
        <w:pStyle w:val="ListBullet"/>
      </w:pPr>
      <w:r>
        <w:t>Clareza: meta média &gt;= 4/5.</w:t>
      </w:r>
    </w:p>
    <w:p>
      <w:pPr>
        <w:pStyle w:val="ListBullet"/>
      </w:pPr>
      <w:r>
        <w:t>Fontes corretas e presentes quando necessárias: meta &gt;= 90%.</w:t>
      </w:r>
    </w:p>
    <w:p>
      <w:pPr>
        <w:pStyle w:val="ListBullet"/>
      </w:pPr>
      <w:r>
        <w:t>Recusa adequada fora da base: meta &gt;= 90%.</w:t>
      </w:r>
    </w:p>
    <w:p>
      <w:pPr>
        <w:pStyle w:val="ListBullet"/>
      </w:pPr>
      <w:r>
        <w:t>Conclusão das tarefas: meta &gt;= 80%.</w:t>
      </w:r>
    </w:p>
    <w:p>
      <w:pPr>
        <w:pStyle w:val="ListBullet"/>
      </w:pPr>
      <w:r>
        <w:t>Zero exposição de segredo e zero acesso cruzado.</w:t>
      </w:r>
    </w:p>
    <w:p>
      <w:pPr>
        <w:pStyle w:val="Heading1"/>
      </w:pPr>
      <w:r>
        <w:t>6. Operação e manutenção local</w:t>
      </w:r>
    </w:p>
    <w:p>
      <w:pPr>
        <w:pStyle w:val="Heading2"/>
      </w:pPr>
      <w:r>
        <w:t>Inspecionar o banco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scripts\operacoes_geoai.py status</w:t>
            </w:r>
          </w:p>
        </w:tc>
      </w:tr>
    </w:tbl>
    <w:p>
      <w:pPr>
        <w:pStyle w:val="Heading2"/>
      </w:pPr>
      <w:r>
        <w:t>Criar backup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scripts\operacoes_geoai.py backup</w:t>
            </w:r>
          </w:p>
        </w:tc>
      </w:tr>
    </w:tbl>
    <w:p>
      <w:r>
        <w:t>O backup consistente é gravado por padrão em backups/ e fica fora do Git. O período aprovado para os backups da futura POC Azure é de 30 dias.</w:t>
      </w:r>
    </w:p>
    <w:p>
      <w:pPr>
        <w:pStyle w:val="Heading2"/>
      </w:pPr>
      <w:r>
        <w:t>Aplicar retenção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scripts\operacoes_geoai.py retencao --dias 90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Atenção: </w:t>
            </w:r>
            <w:r>
              <w:rPr>
                <w:rFonts w:ascii="Calibri" w:hAnsi="Calibri"/>
                <w:color w:val="0B2545"/>
                <w:sz w:val="21"/>
              </w:rPr>
              <w:t>a retenção exclui conversas cuja última atualização seja anterior ao limite. Crie e verifique um backup antes da execução manual.</w:t>
            </w:r>
          </w:p>
        </w:tc>
      </w:tr>
    </w:tbl>
    <w:p>
      <w:pPr>
        <w:pStyle w:val="Heading2"/>
      </w:pPr>
      <w:r>
        <w:t>Diagnóstico rápido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Sintoma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Verificação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Chave ausente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Confirme que .env existe e contém OPENAI_API_KEY, sem exibir o valor.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Modelo não responde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Verifique internet, saldo, modelo permitido e timeout.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RAG não encontra fonte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Confirme GEOAI_KNOWLEDGE_PATH e arquivos .md em Analise/docsgeo.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Histórico não aparece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Confirme GEOAI_DATABASE_PATH e permissão de escrita na pasta data.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Streamlit não abre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Leia a URL no terminal e confirme que a porta não está ocupada.</w:t>
            </w:r>
          </w:p>
        </w:tc>
      </w:tr>
    </w:tbl>
    <w:p>
      <w:pPr>
        <w:pStyle w:val="Heading1"/>
      </w:pPr>
      <w:r>
        <w:t>7. Custos e orçamento da POC</w:t>
      </w:r>
    </w:p>
    <w:p>
      <w:r>
        <w:t>O orçamento total aprovado é R$ 50 para Azure e OpenAI em conjunto. Os valores abaixo são estimativas de planejamento e variam com câmbio, impostos, tokens, tempo de execução e preços vigentes.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300"/>
        <w:gridCol w:w="1900"/>
        <w:gridCol w:w="41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Componente / cenário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Estimativa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Observação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Testes automatizados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R$ 0 de API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Usam substitutos; não chamam a OpenAI.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App Service Linux F1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R$ 0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Sem SLA e com limites; apropriado apenas à POC.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PostgreSQL B1ms por 14 dias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~R$ 29,50 + armazenamento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Parar quando ocioso; armazenamento continua cobrado.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OpenAI Sol, 20 interações típicas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~R$ 4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Exemplo de 3.000 tokens de entrada e 800 de saída.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Margem de segurança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R$ 10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Reserva de 20% do orçamento.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Total de planejamento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~R$ 44-50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Depende sobretudo do banco e do uso real.</w:t>
            </w:r>
          </w:p>
        </w:tc>
      </w:tr>
    </w:tbl>
    <w:p>
      <w:pPr>
        <w:pStyle w:val="Heading2"/>
      </w:pPr>
      <w:r>
        <w:t>Economizar durante o piloto</w:t>
      </w:r>
    </w:p>
    <w:p>
      <w:pPr>
        <w:pStyle w:val="ListBullet"/>
      </w:pPr>
      <w:r>
        <w:t>Preferir gpt-5.6-luna quando a qualidade for suficiente; no mesmo exemplo, a chamada seria cerca de R$ 0,04 em vez de R$ 0,20.</w:t>
      </w:r>
    </w:p>
    <w:p>
      <w:pPr>
        <w:pStyle w:val="ListBullet"/>
      </w:pPr>
      <w:r>
        <w:t>Parar o PostgreSQL quando o piloto estiver inativo e remover recursos ao encerrar.</w:t>
      </w:r>
    </w:p>
    <w:p>
      <w:pPr>
        <w:pStyle w:val="ListBullet"/>
      </w:pPr>
      <w:r>
        <w:t>Manter respostas curtas, limitar histórico e acompanhar tokens por participante.</w:t>
      </w:r>
    </w:p>
    <w:p>
      <w:pPr>
        <w:pStyle w:val="ListBullet"/>
      </w:pPr>
      <w:r>
        <w:t>Usar alertas em 50%, 75%, 80%, 90% e 100%; bloquear novas chamadas OpenAI no teto interno de R$ 40.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Azure for Students: </w:t>
            </w:r>
            <w:r>
              <w:rPr>
                <w:rFonts w:ascii="Calibri" w:hAnsi="Calibri"/>
                <w:color w:val="0B2545"/>
                <w:sz w:val="21"/>
              </w:rPr>
              <w:t>o crédito pode evitar desembolso direto enquanto houver saldo, mas o consumo precisa continuar registrado no limite da POC.</w:t>
            </w:r>
          </w:p>
        </w:tc>
      </w:tr>
    </w:tbl>
    <w:p>
      <w:pPr>
        <w:pStyle w:val="Heading1"/>
        <w:pageBreakBefore/>
      </w:pPr>
      <w:r>
        <w:t>8. Evolução por portões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000"/>
        <w:gridCol w:w="2400"/>
        <w:gridCol w:w="5960"/>
      </w:tblGrid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Portão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Situação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Entrega principal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Aprovado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Linha de base e credencial fora do Git.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Aprovado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Separação em interface, aplicação, domínio, infraestrutura e configuração.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Aprovado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SQLite transacional e isolamento por conversa.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Aprovado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Cobertura mínima automatizada e testes sem API real.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Aprovado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Gerenciamento completo das conversas.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Aprovado para piloto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RAG local controlado, fontes e recusa sem evidência.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6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Parcialmente aprovado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Prontidão técnica local concluída; validações externas pendentes.</w:t>
            </w:r>
          </w:p>
        </w:tc>
      </w:tr>
    </w:tbl>
    <w:p>
      <w:pPr>
        <w:pStyle w:val="Heading2"/>
      </w:pPr>
      <w:r>
        <w:t>Próxima implantação planejada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Decisão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Definição da POC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Identidade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Microsoft Entra ID; tenant único.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Hospedagem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Azure App Service, região eastus.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Persistência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Azure Database for PostgreSQL, iniciado vazio.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Participantes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Dois; contas autorizadas ainda precisam ser definidas.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Retenção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Conversas por 90 dias; backups por 30 dias.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Responsável por alertas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fredjml.br@gmail.com.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Início previsto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B2545"/>
                <w:sz w:val="19"/>
              </w:rPr>
              <w:t>24/08/2026.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Estado real: </w:t>
            </w:r>
            <w:r>
              <w:rPr>
                <w:rFonts w:ascii="Calibri" w:hAnsi="Calibri"/>
                <w:color w:val="0B2545"/>
                <w:sz w:val="21"/>
              </w:rPr>
              <w:t>esta tabela registra decisões, não comprova implantação. Autenticação, PostgreSQL, hospedagem e controle unificado de custos ainda exigem implementação e provisionamento.</w:t>
            </w:r>
          </w:p>
        </w:tc>
      </w:tr>
    </w:tbl>
    <w:p>
      <w:pPr>
        <w:pStyle w:val="Heading1"/>
      </w:pPr>
      <w:r>
        <w:t>9. Uso responsável e privacidade</w:t>
      </w:r>
    </w:p>
    <w:p>
      <w:pPr>
        <w:pStyle w:val="ListBullet"/>
      </w:pPr>
      <w:r>
        <w:t>Não inserir dados pessoais, confidenciais, estratégicos ou sujeitos a sigilo.</w:t>
      </w:r>
    </w:p>
    <w:p>
      <w:pPr>
        <w:pStyle w:val="ListBullet"/>
      </w:pPr>
      <w:r>
        <w:t>Revisar toda recomendação antes de usá-la em trabalho técnico ou decisão profissional.</w:t>
      </w:r>
    </w:p>
    <w:p>
      <w:pPr>
        <w:pStyle w:val="ListBullet"/>
      </w:pPr>
      <w:r>
        <w:t>Registrar feedback de forma anonimizada, conforme aprovado para a POC.</w:t>
      </w:r>
    </w:p>
    <w:p>
      <w:pPr>
        <w:pStyle w:val="ListBullet"/>
      </w:pPr>
      <w:r>
        <w:t>Excluir conversas de teste que não precisem ser preservadas.</w:t>
      </w:r>
    </w:p>
    <w:p>
      <w:pPr>
        <w:pStyle w:val="ListBullet"/>
      </w:pPr>
      <w:r>
        <w:t>Comunicar imediatamente suspeita de vazamento, acesso indevido ou gasto anormal ao responsável do piloto.</w:t>
      </w:r>
    </w:p>
    <w:p>
      <w:pPr>
        <w:pStyle w:val="Heading2"/>
      </w:pPr>
      <w:r>
        <w:t>Pendências antes do piloto hospedado</w:t>
      </w:r>
    </w:p>
    <w:p>
      <w:pPr>
        <w:pStyle w:val="ListBullet"/>
      </w:pPr>
      <w:r>
        <w:t>Definir as duas contas participantes e se o tenant inteiro ou apenas uma lista terá acesso.</w:t>
      </w:r>
    </w:p>
    <w:p>
      <w:pPr>
        <w:pStyle w:val="ListBullet"/>
      </w:pPr>
      <w:r>
        <w:t>Definir administrador, suporte, privacidade, incidentes e solicitações de exclusão.</w:t>
      </w:r>
    </w:p>
    <w:p>
      <w:pPr>
        <w:pStyle w:val="ListBullet"/>
      </w:pPr>
      <w:r>
        <w:t>Definir acesso administrativo ao PostgreSQL e destino autorizado dos backups.</w:t>
      </w:r>
    </w:p>
    <w:p>
      <w:pPr>
        <w:pStyle w:val="ListBullet"/>
      </w:pPr>
      <w:r>
        <w:t>Aprovar formalmente os dez documentos RAG e a regra de citação.</w:t>
      </w:r>
    </w:p>
    <w:p>
      <w:pPr>
        <w:pStyle w:val="ListBullet"/>
      </w:pPr>
      <w:r>
        <w:t>Definir duração, número de conversas e comportamento exato ao atingir o limite financeiro.</w:t>
      </w:r>
    </w:p>
    <w:p>
      <w:pPr>
        <w:pStyle w:val="Heading1"/>
      </w:pPr>
      <w:r>
        <w:t>10. Referências</w:t>
      </w:r>
    </w:p>
    <w:p>
      <w:r>
        <w:t>Fontes internas consolidadas: RegistroImplementacaoEvolutiva.md, DecisoesDeImplementacao_PortaoIntegral.md, README.md e código operacional do projeto.</w:t>
      </w:r>
    </w:p>
    <w:p>
      <w:r>
        <w:rPr>
          <w:rFonts w:ascii="Calibri" w:hAnsi="Calibri"/>
          <w:color w:val="1F4D78"/>
          <w:sz w:val="19"/>
        </w:rPr>
        <w:t>OpenAI - gpt-5.6-sol: https://developers.openai.com/api/docs/models/gpt-5.6-sol</w:t>
      </w:r>
    </w:p>
    <w:p>
      <w:r>
        <w:rPr>
          <w:rFonts w:ascii="Calibri" w:hAnsi="Calibri"/>
          <w:color w:val="1F4D78"/>
          <w:sz w:val="19"/>
        </w:rPr>
        <w:t>OpenAI - comparação de modelos: https://developers.openai.com/api/docs/models/text</w:t>
      </w:r>
    </w:p>
    <w:p>
      <w:r>
        <w:rPr>
          <w:rFonts w:ascii="Calibri" w:hAnsi="Calibri"/>
          <w:color w:val="1F4D78"/>
          <w:sz w:val="19"/>
        </w:rPr>
        <w:t>Azure App Service Linux - preços: https://azure.microsoft.com/en-us/pricing/details/app-service/linux/</w:t>
      </w:r>
    </w:p>
    <w:p>
      <w:r>
        <w:rPr>
          <w:rFonts w:ascii="Calibri" w:hAnsi="Calibri"/>
          <w:color w:val="1F4D78"/>
          <w:sz w:val="19"/>
        </w:rPr>
        <w:t>Azure - limites dos serviços: https://learn.microsoft.com/en-us/azure/azure-resource-manager/management/azure-subscription-service-limits</w:t>
      </w:r>
    </w:p>
    <w:p>
      <w:r>
        <w:rPr>
          <w:rFonts w:ascii="Calibri" w:hAnsi="Calibri"/>
          <w:color w:val="1F4D78"/>
          <w:sz w:val="19"/>
        </w:rPr>
        <w:t>Azure Database for PostgreSQL - preços: https://azure.microsoft.com/pt-br/pricing/details/postgresql/flexible-server/</w:t>
      </w:r>
    </w:p>
    <w:p>
      <w:r>
        <w:rPr>
          <w:rFonts w:ascii="Calibri" w:hAnsi="Calibri"/>
          <w:color w:val="1F4D78"/>
          <w:sz w:val="19"/>
        </w:rPr>
        <w:t>Azure Database for PostgreSQL - visão geral: https://learn.microsoft.com/en-us/azure/postgresql/overview</w:t>
      </w:r>
    </w:p>
    <w:p>
      <w:r>
        <w:rPr>
          <w:rFonts w:ascii="Calibri" w:hAnsi="Calibri"/>
          <w:color w:val="1F4D78"/>
          <w:sz w:val="19"/>
        </w:rPr>
        <w:t>Azure for Students - acompanhamento de custos: https://learn.microsoft.com/en-us/azure/education-hub/navigate-costs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8"/>
      </w:rPr>
      <w:t>GeoAI Mentor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GeoAI Mentor</dc:title>
  <dc:subject>Uso, testes e operação da prova de conceito</dc:subject>
  <dc:creator>Projeto GeoAI Mentor</dc:creator>
  <cp:keywords>GeoAI Mentor, POC, manual, Streamlit, RAG, OpenAI,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