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260000" cy="41283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mp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4128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rFonts w:ascii="Calibri" w:hAnsi="Calibri"/>
          <w:b/>
          <w:i w:val="0"/>
          <w:color w:val="990000"/>
          <w:sz w:val="20"/>
        </w:rPr>
        <w:t>MINISTÉRIO PÚBLICO DO TRABALHO</w:t>
      </w:r>
    </w:p>
    <w:p>
      <w:pPr>
        <w:spacing w:after="28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Procuradoria-Geral do Trabalho • Canal de Denúncias da Cidadania</w:t>
      </w:r>
    </w:p>
    <w:p>
      <w:pPr>
        <w:spacing w:after="80" w:before="0"/>
        <w:jc w:val="center"/>
      </w:pPr>
      <w:r>
        <w:rPr>
          <w:rFonts w:ascii="Calibri" w:hAnsi="Calibri"/>
          <w:b/>
          <w:i w:val="0"/>
          <w:color w:val="17335C"/>
          <w:sz w:val="40"/>
        </w:rPr>
        <w:t>RELATÓRIO EXECUTIVO DE DIAGNÓSTICO DE PRODUÇÃO DO FRONTEND</w:t>
      </w:r>
    </w:p>
    <w:p>
      <w:pPr>
        <w:spacing w:after="320" w:before="0"/>
        <w:jc w:val="center"/>
      </w:pPr>
      <w:r>
        <w:rPr>
          <w:rFonts w:ascii="Calibri" w:hAnsi="Calibri"/>
          <w:b w:val="0"/>
          <w:i/>
          <w:color w:val="0C6E64"/>
          <w:sz w:val="23"/>
        </w:rPr>
        <w:t>Análise de Requisitos Obrigatórios, Bugs Bloqueadores e Conformidade LGPD para Entrada em Operação Real</w:t>
      </w:r>
    </w:p>
    <w:p>
      <w:pPr>
        <w:spacing w:after="40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Data: 26 de Julho de 2026  |  Destinado à Diretoria Geral e Colegiado de TI do MPT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Controle do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381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Item</w:t>
            </w:r>
          </w:p>
        </w:tc>
        <w:tc>
          <w:tcPr>
            <w:tcW w:type="dxa" w:w="6973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Detalhamento Executivo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Objetivo</w:t>
            </w:r>
          </w:p>
        </w:tc>
        <w:tc>
          <w:tcPr>
            <w:tcW w:type="dxa" w:w="697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Informar à Diretoria o diagnóstico exato dos requisitos e falhas que impedem o lançamento imediato da aplicação em produção, estabelecendo um plano de ação para a liberação segura.</w:t>
            </w:r>
          </w:p>
        </w:tc>
      </w:tr>
      <w:tr>
        <w:tc>
          <w:tcPr>
            <w:tcW w:type="dxa" w:w="238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Escopo da Análise</w:t>
            </w:r>
          </w:p>
        </w:tc>
        <w:tc>
          <w:tcPr>
            <w:tcW w:type="dxa" w:w="6973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Código-fonte da Interface do Usuário (Frontend Angular), Mecanismo de Serialização Multipart, Tratamento de Privacidade (LGPD) e Resiliência em Conexões Móveis.</w:t>
            </w:r>
          </w:p>
        </w:tc>
      </w:tr>
      <w:tr>
        <w:tc>
          <w:tcPr>
            <w:tcW w:type="dxa" w:w="2381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Resultado Global</w:t>
            </w:r>
          </w:p>
        </w:tc>
        <w:tc>
          <w:tcPr>
            <w:tcW w:type="dxa" w:w="6973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Sistema em avançado estágio de maturidade visual, porém com 2 BUGS BLOQUEADORES (P0) de transmissão de dados e privacidade que exigem correção prévia ao deploy.</w:t>
            </w:r>
          </w:p>
        </w:tc>
      </w:tr>
      <w:tr>
        <w:tc>
          <w:tcPr>
            <w:tcW w:type="dxa" w:w="2381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Público Alvo</w:t>
            </w:r>
          </w:p>
        </w:tc>
        <w:tc>
          <w:tcPr>
            <w:tcW w:type="dxa" w:w="6973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Diretoria do MPT, Gestores de TI, Encarregado de Proteção de Dados (DPO/LGPD) e Equipe de Triagem.</w:t>
            </w:r>
          </w:p>
        </w:tc>
      </w:tr>
    </w:tbl>
    <w:p>
      <w:pPr>
        <w:spacing w:after="16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1. Sumário Executivo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análise minuciosa do código-fonte do Canal de Denúncias (SPA Angular) revelou que, para o sistema entrar em operação real (Produção), a implementação de melhorias visuais e de acessibilidade (WCAG 2.1 AA) **não é a única exigência**. Existem 2 bugs técnicos graves de transmissão e privacidade que precisam ser sanados de imediato para evitar prejuízos à sociedade e responsabilização jurídica do órgão.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12"/>
      </w:tblGrid>
      <w:tr>
        <w:tc>
          <w:tcPr>
            <w:tcW w:type="dxa" w:w="9354"/>
            <w:shd w:val="clear" w:color="auto" w:fill="FDF2F2"/>
            <w:tcBorders>
              <w:top w:val="single" w:sz="12" w:space="0" w:color="990000"/>
              <w:left w:val="single" w:sz="12" w:space="0" w:color="990000"/>
              <w:bottom w:val="single" w:sz="12" w:space="0" w:color="990000"/>
              <w:right w:val="single" w:sz="12" w:space="0" w:color="990000"/>
            </w:tcBorders>
          </w:tcPr>
          <w:p>
            <w:pPr>
              <w:spacing w:before="80" w:after="40"/>
            </w:pPr>
            <w:r>
              <w:rPr>
                <w:rFonts w:ascii="Calibri" w:hAnsi="Calibri"/>
                <w:b/>
                <w:color w:val="990000"/>
                <w:sz w:val="22"/>
              </w:rPr>
              <w:t>⚠️ ALERTA DE SEGURANÇA E PRIVACIDADE PARA A DIRETORIA</w:t>
              <w:br/>
            </w:r>
            <w:r>
              <w:rPr>
                <w:rFonts w:ascii="Calibri" w:hAnsi="Calibri"/>
                <w:i/>
                <w:sz w:val="20"/>
              </w:rPr>
              <w:t>O sistema atual apresenta dois riscos críticos de produção:</w:t>
              <w:br/>
              <w:t>1. Descarte silencioso dos relatos em áudio gravados pelo cidadão no formulário.</w:t>
              <w:br/>
              <w:t>2. Vazamento indevido de Nome, E-mail e Telefone caso o cidadão preencha seus dados e depois opte pela 'Denúncia Anônima'.</w:t>
              <w:br/>
              <w:br/>
              <w:t>A liberação em produção deve ser condicionada à correção prévia destes 2 itens bloqueadores.</w:t>
            </w:r>
          </w:p>
        </w:tc>
      </w:tr>
    </w:tbl>
    <w:p>
      <w:r>
        <w:br w:type="page"/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2. Impeditivos Críticos de Produção (Bugs Bloqueadores — P0)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Abaixo estão detalhadas as duas falhas técnicas graves identificadas pela arquitetura de software que impedem o deploy imediato: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1. Perda Silenciosa de Áudio Gravado (Bug Técnico de Transmissão): </w:t>
      </w:r>
      <w:r>
        <w:rPr>
          <w:rFonts w:ascii="Calibri" w:hAnsi="Calibri"/>
          <w:sz w:val="21"/>
        </w:rPr>
        <w:t>No formulário, o cidadão pode gravar um depoimento em áudio. O sistema cria o arquivo na memória do celular/computador, porém, no momento de enviar ao servidor, o código tenta converter o áudio em texto comum (JSON). Isso faz com que o áudio seja transformado em um objeto nulo e DESCARTADO SILENCIOSAMENTE. O MPT recebe a denúncia sem o áudio anexado.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2. Transmissão Indevida de Dados Pessoais (Falha Grave de LGPD): </w:t>
      </w:r>
      <w:r>
        <w:rPr>
          <w:rFonts w:ascii="Calibri" w:hAnsi="Calibri"/>
          <w:sz w:val="21"/>
        </w:rPr>
        <w:t>Se o cidadão preencher seu Nome e E-mail no formulário e depois decidir marcar a opção 'Denúncia Anônima', o sistema não apaga os dados pessoais da memória. Ao clicar em enviar, o formulário transmite o Nome e o E-mail para o banco de dados do MPT, violando a promessa de anonimato total feita ao denunciante.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3. Resiliência Operacional e Riscos em Dispositivos Móveis (P1)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Grande parte dos trabalhadores acessará o canal via celular e em redes móveis (3G/4G/5G). Três fragilidades de resiliência foram identificadas: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a) Perda Total do Formulário ao Recarregar a Tela: </w:t>
      </w:r>
      <w:r>
        <w:rPr>
          <w:rFonts w:ascii="Calibri" w:hAnsi="Calibri"/>
          <w:sz w:val="21"/>
        </w:rPr>
        <w:t>Caso o cidadão esteja no 5º passo do formulário e o celular receba uma chamada, perca sinal ou atualize a página (F5), todos os textos digitados e fotos anexadas são totalmente apagados. É indispensável implementar o salvamento temporário de rascunho (sessionStorage).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b) Travamento de Interface em Conexões Instáveis (Sem Timeout): </w:t>
      </w:r>
      <w:r>
        <w:rPr>
          <w:rFonts w:ascii="Calibri" w:hAnsi="Calibri"/>
          <w:sz w:val="21"/>
        </w:rPr>
        <w:t>O envio da denúncia não possui limite de tempo de resposta (timeout). Se a internet do cidadão oscilar durante o envio de fotos pesadas, o botão fica travado infinitamente em 'Enviando...' sem exibir mensagem de erro.</w:t>
      </w:r>
    </w:p>
    <w:p>
      <w:pPr>
        <w:pStyle w:val="ListBullet"/>
        <w:spacing w:after="80"/>
      </w:pPr>
      <w:r>
        <w:rPr>
          <w:rFonts w:ascii="Calibri" w:hAnsi="Calibri"/>
          <w:b/>
          <w:color w:val="17335C"/>
          <w:sz w:val="21"/>
        </w:rPr>
        <w:t xml:space="preserve">c) Elementos Visuais sem Ação na Interface ('Botões Mortos'): </w:t>
      </w:r>
      <w:r>
        <w:rPr>
          <w:rFonts w:ascii="Calibri" w:hAnsi="Calibri"/>
          <w:sz w:val="21"/>
        </w:rPr>
        <w:t>O botão de Acessibilidade no topo, o reprodutor de Vídeo Explicativo e os cards de 'Ouvidoria' e 'Órgãos Públicos' na tela inicial são apenas figuras estáticas e não realizam nenhuma ação ao serem clicados pelo usuário.</w:t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4. Matriz Integrada de Prontidão para Produção (Roadmap)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Consolidação de todos os requisitos pendentes (técnicos, usabilidade, acessibilidade e governança) com seus respectivos níveis de criticidade: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rPr>
          <w:tblHeader w:val="true"/>
        </w:trPr>
        <w:tc>
          <w:tcPr>
            <w:tcW w:type="dxa" w:w="181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Classificação</w:t>
            </w:r>
          </w:p>
        </w:tc>
        <w:tc>
          <w:tcPr>
            <w:tcW w:type="dxa" w:w="328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Requisito / Ponto de Atenção</w:t>
            </w:r>
          </w:p>
        </w:tc>
        <w:tc>
          <w:tcPr>
            <w:tcW w:type="dxa" w:w="3118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Impacto da Ausência em Produção</w:t>
            </w:r>
          </w:p>
        </w:tc>
        <w:tc>
          <w:tcPr>
            <w:tcW w:type="dxa" w:w="1134"/>
            <w:vAlign w:val="center"/>
            <w:shd w:val="clear" w:color="auto" w:fill="17335C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>Prazo Técnico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🔴 BLOQUEADOR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Corrigir envio do Blob de áudio no FormData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Perda total do depoimento em áudio gravado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 dias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CE4D6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🔴 BLOQUEADOR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Reset de PII ao mudar para 'Denúncia Anônima'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Vazamento de dados pessoais (Infração LGPD)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dias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ALTA PRIORIDADE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Salvamento de rascunho (sessionStorage)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Perda de dados ao recarregar a página no celular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 dias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ALTA PRIORIDADE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Timeout de 30s no envio (AbortController)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Interface travada indefinidamente em rede ruim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dias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ALTA PRIORIDADE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Bloqueio de avanço em etapas incompletas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Recepção de denúncias sem relato ou sem local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3 dias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ALTA PRIORIDADE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Acessibilidade por teclado e leitores de tela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Incapacidade de uso por pessoas com deficiência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4 dias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FFF2CC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🟡 ALTA PRIORIDADE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Validação de CNPJ (Dígito Verificador)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Cadastro de empresas fictícias ou inválidas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dias</w:t>
            </w:r>
          </w:p>
        </w:tc>
      </w:tr>
      <w:tr>
        <w:tc>
          <w:tcPr>
            <w:tcW w:type="dxa" w:w="181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🟢 MÉDIA PRIORIDADE</w:t>
            </w:r>
          </w:p>
        </w:tc>
        <w:tc>
          <w:tcPr>
            <w:tcW w:type="dxa" w:w="328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Conectar ou ocultar botões/cards sem ação</w:t>
            </w:r>
          </w:p>
        </w:tc>
        <w:tc>
          <w:tcPr>
            <w:tcW w:type="dxa" w:w="3118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Frustração do usuário ao clicar em itens mortos</w:t>
            </w:r>
          </w:p>
        </w:tc>
        <w:tc>
          <w:tcPr>
            <w:tcW w:type="dxa" w:w="1134"/>
            <w:vAlign w:val="center"/>
            <w:shd w:val="clear" w:color="auto" w:fill="F4F6F9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2 dias</w:t>
            </w:r>
          </w:p>
        </w:tc>
      </w:tr>
      <w:tr>
        <w:tc>
          <w:tcPr>
            <w:tcW w:type="dxa" w:w="181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  <w:shd w:val="clear" w:color="auto" w:fill="E2F0D9"/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🟢 MÉDIA PRIORIDADE</w:t>
            </w:r>
          </w:p>
        </w:tc>
        <w:tc>
          <w:tcPr>
            <w:tcW w:type="dxa" w:w="328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Termos de Uso e Consentimento LGPD</w:t>
            </w:r>
          </w:p>
        </w:tc>
        <w:tc>
          <w:tcPr>
            <w:tcW w:type="dxa" w:w="3118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Falta de registro formal de ciência dos termos</w:t>
            </w:r>
          </w:p>
        </w:tc>
        <w:tc>
          <w:tcPr>
            <w:tcW w:type="dxa" w:w="1134"/>
            <w:vAlign w:val="center"/>
            <w:tcBorders>
              <w:top w:val="single" w:sz="4" w:space="0" w:color="D0D7DE"/>
              <w:left w:val="single" w:sz="4" w:space="0" w:color="D0D7DE"/>
              <w:bottom w:val="single" w:sz="4" w:space="0" w:color="D0D7DE"/>
              <w:right w:val="single" w:sz="4" w:space="0" w:color="D0D7DE"/>
            </w:tcBorders>
          </w:tcPr>
          <w:p>
            <w:pPr>
              <w:spacing w:after="60" w:before="60"/>
            </w:pPr>
            <w:r/>
            <w:r>
              <w:rPr>
                <w:rFonts w:ascii="Calibri" w:hAnsi="Calibri"/>
                <w:sz w:val="20"/>
              </w:rPr>
              <w:t>1 dia</w:t>
            </w:r>
          </w:p>
        </w:tc>
      </w:tr>
    </w:tbl>
    <w:p>
      <w:pPr>
        <w:spacing w:after="24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280"/>
        <w:jc w:val="left"/>
        <w:pBdr>
          <w:bottom w:val="single" w:sz="8" w:space="2" w:color="17335C"/>
        </w:pBdr>
      </w:pPr>
      <w:r>
        <w:rPr>
          <w:rFonts w:ascii="Calibri" w:hAnsi="Calibri"/>
          <w:b/>
          <w:i w:val="0"/>
          <w:color w:val="17335C"/>
          <w:sz w:val="36"/>
        </w:rPr>
        <w:t>5. Conclusão e Recomendação Final</w:t>
      </w:r>
    </w:p>
    <w:p>
      <w:pPr>
        <w:spacing w:after="120" w:before="0"/>
        <w:jc w:val="both"/>
      </w:pPr>
      <w:r>
        <w:rPr>
          <w:rFonts w:ascii="Calibri" w:hAnsi="Calibri"/>
          <w:b w:val="0"/>
          <w:i w:val="0"/>
          <w:sz w:val="21"/>
        </w:rPr>
        <w:t>A equipe de arquitetura recomenda expressamente que a liberação do Canal de Denúncias em ambiente de produção ocorra **somente após a conclusão dos itens Bloqueadores (P0) e de Alta Prioridade (P1)**.</w:t>
      </w:r>
    </w:p>
    <w:p>
      <w:pPr>
        <w:spacing w:after="120" w:before="0"/>
        <w:jc w:val="both"/>
      </w:pPr>
      <w:r>
        <w:rPr>
          <w:rFonts w:ascii="Calibri" w:hAnsi="Calibri"/>
          <w:b/>
          <w:i w:val="0"/>
          <w:color w:val="17335C"/>
          <w:sz w:val="21"/>
        </w:rPr>
        <w:t>O esforço total estimado para sanar 100% dos pontos elencados nesta matriz é de aproximadamente **3 semanas de desenvolvimento**, garantindo que o Ministério Público do Trabalho entregue à sociedade uma plataforma confiável, juridicamente segura, totalmente acessível e resiliente.</w:t>
      </w:r>
    </w:p>
    <w:p>
      <w:pPr>
        <w:spacing w:after="480" w:before="0"/>
        <w:jc w:val="left"/>
      </w:pPr>
      <w:r>
        <w:rPr>
          <w:rFonts w:ascii="Calibri" w:hAnsi="Calibri"/>
          <w:b w:val="0"/>
          <w:i w:val="0"/>
          <w:sz w:val="21"/>
        </w:rPr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21"/>
        </w:rPr>
        <w:t>________________________________________________________</w:t>
      </w:r>
    </w:p>
    <w:p>
      <w:pPr>
        <w:spacing w:after="120" w:before="0"/>
        <w:jc w:val="center"/>
      </w:pPr>
      <w:r>
        <w:rPr>
          <w:rFonts w:ascii="Calibri" w:hAnsi="Calibri"/>
          <w:b/>
          <w:i w:val="0"/>
          <w:sz w:val="20"/>
        </w:rPr>
        <w:t>Equipe de Arquitetura de Software e Segurança da Informação</w:t>
      </w:r>
    </w:p>
    <w:p>
      <w:pPr>
        <w:spacing w:after="120" w:before="0"/>
        <w:jc w:val="center"/>
      </w:pPr>
      <w:r>
        <w:rPr>
          <w:rFonts w:ascii="Calibri" w:hAnsi="Calibri"/>
          <w:b w:val="0"/>
          <w:i w:val="0"/>
          <w:color w:val="5A5A5A"/>
          <w:sz w:val="19"/>
        </w:rPr>
        <w:t>Ministério Público do Trabalho — PGT</w:t>
      </w:r>
    </w:p>
    <w:sectPr w:rsidR="00FC693F" w:rsidRPr="0006063C" w:rsidSect="00034616">
      <w:footerReference w:type="default" r:id="rId9"/>
      <w:pgSz w:w="12240" w:h="15840"/>
      <w:pgMar w:top="1020" w:right="964" w:bottom="102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A5A5A"/>
        <w:sz w:val="17"/>
      </w:rPr>
      <w:t xml:space="preserve">MPT • Canal de Denúncias • Relatório Executivo de Diagnóstico de Produção  |  Página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Relatório Executivo de Diagnóstico de Prontidão para Produção</dc:title>
  <dc:subject>Análise de Gaps Críticos e Requisitos para Lançamento do Canal de Denúncias</dc:subject>
  <dc:creator>Equipe de Arquitetura de Software MPT</dc:creator>
  <cp:keywords>MPT, Diretoria, Produção, Diagnóstico, Gaps, LGPD, Frontend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