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/>
          <w:b/>
          <w:color w:val="5A5A5A"/>
          <w:sz w:val="20"/>
        </w:rPr>
        <w:t>MINISTÉRIO PÚBLICO DO TRABALHO</w:t>
      </w:r>
    </w:p>
    <w:p>
      <w:pPr>
        <w:spacing w:after="240" w:before="0"/>
        <w:jc w:val="center"/>
      </w:pPr>
      <w:r>
        <w:rPr>
          <w:rFonts w:ascii="Calibri" w:hAnsi="Calibri"/>
          <w:b w:val="0"/>
          <w:color w:val="5A5A5A"/>
          <w:sz w:val="20"/>
        </w:rPr>
        <w:t>Canal de Denúncias da Cidadania</w:t>
      </w:r>
    </w:p>
    <w:p>
      <w:pPr>
        <w:spacing w:after="0" w:before="0"/>
        <w:jc w:val="center"/>
      </w:pPr>
      <w:r>
        <w:rPr>
          <w:rFonts w:ascii="Calibri" w:hAnsi="Calibri"/>
          <w:b/>
          <w:color w:val="17335C"/>
          <w:sz w:val="52"/>
        </w:rPr>
        <w:t>Relatório Executivo</w:t>
      </w:r>
    </w:p>
    <w:p>
      <w:pPr>
        <w:spacing w:after="240" w:before="0"/>
        <w:jc w:val="center"/>
      </w:pPr>
      <w:r>
        <w:rPr>
          <w:rFonts w:ascii="Calibri" w:hAnsi="Calibri"/>
          <w:b w:val="0"/>
          <w:color w:val="0C6E64"/>
          <w:sz w:val="28"/>
        </w:rPr>
        <w:t>Sanitização e endurecimento do codebase</w:t>
      </w:r>
    </w:p>
    <w:p>
      <w:pPr>
        <w:spacing w:after="360" w:before="0"/>
        <w:jc w:val="center"/>
      </w:pPr>
      <w:r>
        <w:rPr>
          <w:rFonts w:ascii="Calibri" w:hAnsi="Calibri"/>
          <w:b w:val="0"/>
          <w:color w:val="5A5A5A"/>
          <w:sz w:val="20"/>
        </w:rPr>
        <w:t>Julho de 2026  |  Ambiente: repositório local  |  Branch: refactor/frontend-architecture</w:t>
      </w:r>
    </w:p>
    <w:p>
      <w:pPr>
        <w:spacing w:after="120" w:before="240"/>
        <w:jc w:val="left"/>
        <w:pBdr>
          <w:bottom w:val="single" w:sz="8" w:space="1" w:color="17335C"/>
        </w:pBdr>
      </w:pPr>
      <w:r>
        <w:rPr>
          <w:rFonts w:ascii="Calibri" w:hAnsi="Calibri"/>
          <w:b/>
          <w:color w:val="17335C"/>
          <w:sz w:val="40"/>
        </w:rPr>
        <w:t>Sumário executivo</w:t>
      </w:r>
    </w:p>
    <w:p>
      <w:pPr>
        <w:spacing w:after="120" w:before="0"/>
        <w:jc w:val="both"/>
      </w:pPr>
      <w:r>
        <w:rPr>
          <w:rFonts w:ascii="Calibri" w:hAnsi="Calibri"/>
          <w:b w:val="0"/>
          <w:sz w:val="22"/>
        </w:rPr>
        <w:t>O Canal de Denúncias passou por uma rodada de sanitização proporcional, focada em eliminar falhas de correção, reduzir superfície de ataque e preparar o serviço para os parâmetros de produção informados (100 denúncias/hora, 500 usuários, 100 uploads simultâneos, 3 réplicas e Safari obrigatório). O trabalho foi executado localmente, sem alterar o desenho da interface aprovado pelos usuários responsáveis pelo negócio.</w:t>
      </w:r>
    </w:p>
    <w:p>
      <w:pPr>
        <w:spacing w:after="120" w:before="0"/>
        <w:jc w:val="left"/>
      </w:pPr>
      <w:r>
        <w:rPr>
          <w:rFonts w:ascii="Calibri" w:hAnsi="Calibri"/>
          <w:b/>
          <w:color w:val="17335C"/>
          <w:sz w:val="22"/>
        </w:rPr>
        <w:t>Foram alterados 56 arquivos (+6.544 / −1.308 linhas), organizados em 17 incrementos priorizados por custo-benefício.</w:t>
      </w:r>
    </w:p>
    <w:p>
      <w:pPr>
        <w:spacing w:after="120" w:before="240"/>
        <w:jc w:val="left"/>
      </w:pPr>
      <w:r>
        <w:rPr>
          <w:rFonts w:ascii="Calibri" w:hAnsi="Calibri"/>
          <w:b/>
          <w:color w:val="0C6E64"/>
          <w:sz w:val="30"/>
        </w:rPr>
        <w:t>Indicadores mensuráveis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969"/>
            <w:vAlign w:val="center"/>
            <w:shd w:val="clear" w:color="auto" w:fill="17335C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2268"/>
            <w:vAlign w:val="center"/>
            <w:shd w:val="clear" w:color="auto" w:fill="17335C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Antes</w:t>
            </w:r>
          </w:p>
        </w:tc>
        <w:tc>
          <w:tcPr>
            <w:tcW w:type="dxa" w:w="3402"/>
            <w:vAlign w:val="center"/>
            <w:shd w:val="clear" w:color="auto" w:fill="17335C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Depois</w:t>
            </w:r>
          </w:p>
        </w:tc>
      </w:tr>
      <w:tr>
        <w:tc>
          <w:tcPr>
            <w:tcW w:type="dxa" w:w="3969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Bundle inicial do frontend</w:t>
            </w:r>
          </w:p>
        </w:tc>
        <w:tc>
          <w:tcPr>
            <w:tcW w:type="dxa" w:w="2268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≈ 601 kB</w:t>
            </w:r>
          </w:p>
        </w:tc>
        <w:tc>
          <w:tcPr>
            <w:tcW w:type="dxa" w:w="3402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384 kB  (−36%)</w:t>
            </w:r>
          </w:p>
        </w:tc>
      </w:tr>
      <w:tr>
        <w:tc>
          <w:tcPr>
            <w:tcW w:type="dxa" w:w="3969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Transferência estimada</w:t>
            </w:r>
          </w:p>
        </w:tc>
        <w:tc>
          <w:tcPr>
            <w:tcW w:type="dxa" w:w="2268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acima do orçamento</w:t>
            </w:r>
          </w:p>
        </w:tc>
        <w:tc>
          <w:tcPr>
            <w:tcW w:type="dxa" w:w="3402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85 kB  (limite 120 kB)</w:t>
            </w:r>
          </w:p>
        </w:tc>
      </w:tr>
      <w:tr>
        <w:tc>
          <w:tcPr>
            <w:tcW w:type="dxa" w:w="3969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Vulnerabilidades em produção (frontend)</w:t>
            </w:r>
          </w:p>
        </w:tc>
        <w:tc>
          <w:tcPr>
            <w:tcW w:type="dxa" w:w="2268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&gt; 0</w:t>
            </w:r>
          </w:p>
        </w:tc>
        <w:tc>
          <w:tcPr>
            <w:tcW w:type="dxa" w:w="3402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0</w:t>
            </w:r>
          </w:p>
        </w:tc>
      </w:tr>
      <w:tr>
        <w:tc>
          <w:tcPr>
            <w:tcW w:type="dxa" w:w="3969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Vulnerabilidades em produção (backend)</w:t>
            </w:r>
          </w:p>
        </w:tc>
        <w:tc>
          <w:tcPr>
            <w:tcW w:type="dxa" w:w="2268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&gt; 0</w:t>
            </w:r>
          </w:p>
        </w:tc>
        <w:tc>
          <w:tcPr>
            <w:tcW w:type="dxa" w:w="3402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0</w:t>
            </w:r>
          </w:p>
        </w:tc>
      </w:tr>
      <w:tr>
        <w:tc>
          <w:tcPr>
            <w:tcW w:type="dxa" w:w="3969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Testes automatizados backend</w:t>
            </w:r>
          </w:p>
        </w:tc>
        <w:tc>
          <w:tcPr>
            <w:tcW w:type="dxa" w:w="2268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praticamente inexistentes</w:t>
            </w:r>
          </w:p>
        </w:tc>
        <w:tc>
          <w:tcPr>
            <w:tcW w:type="dxa" w:w="3402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30 / 30</w:t>
            </w:r>
          </w:p>
        </w:tc>
      </w:tr>
      <w:tr>
        <w:tc>
          <w:tcPr>
            <w:tcW w:type="dxa" w:w="3969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Testes unitários frontend</w:t>
            </w:r>
          </w:p>
        </w:tc>
        <w:tc>
          <w:tcPr>
            <w:tcW w:type="dxa" w:w="2268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limitados</w:t>
            </w:r>
          </w:p>
        </w:tc>
        <w:tc>
          <w:tcPr>
            <w:tcW w:type="dxa" w:w="3402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8 / 8</w:t>
            </w:r>
          </w:p>
        </w:tc>
      </w:tr>
      <w:tr>
        <w:tc>
          <w:tcPr>
            <w:tcW w:type="dxa" w:w="3969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Jornadas E2E (Playwright + axe)</w:t>
            </w:r>
          </w:p>
        </w:tc>
        <w:tc>
          <w:tcPr>
            <w:tcW w:type="dxa" w:w="2268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type="dxa" w:w="3402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16 / 16</w:t>
            </w:r>
          </w:p>
        </w:tc>
      </w:tr>
      <w:tr>
        <w:tc>
          <w:tcPr>
            <w:tcW w:type="dxa" w:w="3969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Navegadores validados</w:t>
            </w:r>
          </w:p>
        </w:tc>
        <w:tc>
          <w:tcPr>
            <w:tcW w:type="dxa" w:w="2268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somente Chromium</w:t>
            </w:r>
          </w:p>
        </w:tc>
        <w:tc>
          <w:tcPr>
            <w:tcW w:type="dxa" w:w="3402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Chromium, Firefox e WebKit/Safari</w:t>
            </w:r>
          </w:p>
        </w:tc>
      </w:tr>
      <w:tr>
        <w:tc>
          <w:tcPr>
            <w:tcW w:type="dxa" w:w="3969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Rate limit com 3 réplicas</w:t>
            </w:r>
          </w:p>
        </w:tc>
        <w:tc>
          <w:tcPr>
            <w:tcW w:type="dxa" w:w="2268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3 contadores independentes</w:t>
            </w:r>
          </w:p>
        </w:tc>
        <w:tc>
          <w:tcPr>
            <w:tcW w:type="dxa" w:w="3402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contador único via Redis</w:t>
            </w:r>
          </w:p>
        </w:tc>
      </w:tr>
      <w:tr>
        <w:tc>
          <w:tcPr>
            <w:tcW w:type="dxa" w:w="3969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Verificação antimalware nos uploads</w:t>
            </w:r>
          </w:p>
        </w:tc>
        <w:tc>
          <w:tcPr>
            <w:tcW w:type="dxa" w:w="2268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não havia</w:t>
            </w:r>
          </w:p>
        </w:tc>
        <w:tc>
          <w:tcPr>
            <w:tcW w:type="dxa" w:w="3402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obrigatória (ClamAV / INSTREAM)</w:t>
            </w:r>
          </w:p>
        </w:tc>
      </w:tr>
    </w:tbl>
    <w:p>
      <w:pPr>
        <w:spacing w:after="120" w:before="240"/>
        <w:jc w:val="left"/>
      </w:pPr>
      <w:r>
        <w:rPr>
          <w:rFonts w:ascii="Calibri" w:hAnsi="Calibri"/>
          <w:b/>
          <w:color w:val="0C6E64"/>
          <w:sz w:val="30"/>
        </w:rPr>
        <w:t>Principais entregas por eixo</w:t>
      </w:r>
    </w:p>
    <w:p>
      <w:pPr>
        <w:spacing w:after="120" w:before="240"/>
        <w:jc w:val="left"/>
      </w:pPr>
      <w:r>
        <w:rPr>
          <w:rFonts w:ascii="Calibri" w:hAnsi="Calibri"/>
          <w:b/>
          <w:color w:val="17335C"/>
          <w:sz w:val="24"/>
        </w:rPr>
        <w:t>Correção do fluxo de denúncia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Eliminado o falso sucesso: o protocolo passa a ser exibido somente após confirmação real da API do MPT.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Contrato HTTP alinhado: 201 apenas em aceite; 502 para falha da integração; 503 quando dependência não configurada.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A tela de revisão mantém os dados preenchidos e oferece nova tentativa em caso de falha.</w:t>
      </w:r>
    </w:p>
    <w:p>
      <w:pPr>
        <w:spacing w:after="120" w:before="240"/>
        <w:jc w:val="left"/>
      </w:pPr>
      <w:r>
        <w:rPr>
          <w:rFonts w:ascii="Calibri" w:hAnsi="Calibri"/>
          <w:b/>
          <w:color w:val="17335C"/>
          <w:sz w:val="24"/>
        </w:rPr>
        <w:t>Segurança e privacidade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Upload agora é feito em disco temporário e verificado por antivírus antes de sair do servidor.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CORS restrito ao domínio do frontend, Swagger desligado em produção e inicialização abortada quando faltam variáveis essenciais.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Logs deixaram de expor UF, sigilo e mensagens brutas da integração; URLs e logs de áudio foram removidos do frontend.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Zero vulnerabilidades conhecidas em dependências de produção, no frontend e no backend.</w:t>
      </w:r>
    </w:p>
    <w:p>
      <w:pPr>
        <w:spacing w:after="120" w:before="240"/>
        <w:jc w:val="left"/>
      </w:pPr>
      <w:r>
        <w:rPr>
          <w:rFonts w:ascii="Calibri" w:hAnsi="Calibri"/>
          <w:b/>
          <w:color w:val="17335C"/>
          <w:sz w:val="24"/>
        </w:rPr>
        <w:t>Preparação para operar em 3 réplicas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Rate limit compartilhado entre réplicas via Redis (redis@6.1.0 + rate-limit-redis@6.0.0).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Falha no Redis bloqueia submissões e encerra o servidor, evitando comportamento inconsistente entre nós.</w:t>
      </w:r>
    </w:p>
    <w:p>
      <w:pPr>
        <w:spacing w:after="120" w:before="240"/>
        <w:jc w:val="left"/>
      </w:pPr>
      <w:r>
        <w:rPr>
          <w:rFonts w:ascii="Calibri" w:hAnsi="Calibri"/>
          <w:b/>
          <w:color w:val="17335C"/>
          <w:sz w:val="24"/>
        </w:rPr>
        <w:t>Qualidade e cobertura de testes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ESLint no frontend e no backend com zero erros.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Vitest e Supertest cobrindo validação, protocolo, controller, clientes HTTP, perímetro e integração de upload seguro.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Playwright + axe automatizando a jornada completa em Chromium (desktop e mobile), Firefox e WebKit (Safari).</w:t>
      </w:r>
    </w:p>
    <w:p>
      <w:pPr>
        <w:spacing w:after="120" w:before="240"/>
        <w:jc w:val="left"/>
      </w:pPr>
      <w:r>
        <w:rPr>
          <w:rFonts w:ascii="Calibri" w:hAnsi="Calibri"/>
          <w:b/>
          <w:color w:val="17335C"/>
          <w:sz w:val="24"/>
        </w:rPr>
        <w:t>Desempenho e experiência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Substituição do Bootstrap completo por módulos Sass necessários: bundle inicial reduzido em 36%.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Ajustes de acessibilidade (teclado, foco, ARIA, contraste e semântica) sem alterar UI/UX aprovada.</w:t>
      </w:r>
    </w:p>
    <w:p>
      <w:pPr>
        <w:spacing w:after="120" w:before="240"/>
        <w:jc w:val="left"/>
      </w:pPr>
      <w:r>
        <w:rPr>
          <w:rFonts w:ascii="Calibri" w:hAnsi="Calibri"/>
          <w:b/>
          <w:color w:val="0C6E64"/>
          <w:sz w:val="30"/>
        </w:rPr>
        <w:t>Pendências para operar em produção</w:t>
      </w:r>
    </w:p>
    <w:p>
      <w:pPr>
        <w:spacing w:after="120" w:before="0"/>
        <w:jc w:val="left"/>
      </w:pPr>
      <w:r>
        <w:rPr>
          <w:rFonts w:ascii="Calibri" w:hAnsi="Calibri"/>
          <w:b w:val="0"/>
          <w:sz w:val="22"/>
        </w:rPr>
        <w:t>O código está apto a seguir para homologação. A conclusão até produção depende de dependências operacionais externas ao repositório: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102"/>
            <w:vAlign w:val="center"/>
            <w:shd w:val="clear" w:color="auto" w:fill="17335C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2551"/>
            <w:vAlign w:val="center"/>
            <w:shd w:val="clear" w:color="auto" w:fill="17335C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Responsável sugerido</w:t>
            </w:r>
          </w:p>
        </w:tc>
        <w:tc>
          <w:tcPr>
            <w:tcW w:type="dxa" w:w="1984"/>
            <w:vAlign w:val="center"/>
            <w:shd w:val="clear" w:color="auto" w:fill="17335C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Bloqueia produção?</w:t>
            </w:r>
          </w:p>
        </w:tc>
      </w:tr>
      <w:tr>
        <w:tc>
          <w:tcPr>
            <w:tcW w:type="dxa" w:w="5102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Provisionar Azure Managed Redis (ou equivalente) e testar REDIS_URL com 3 réplicas</w:t>
            </w:r>
          </w:p>
        </w:tc>
        <w:tc>
          <w:tcPr>
            <w:tcW w:type="dxa" w:w="2551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Infraestrutura</w:t>
            </w:r>
          </w:p>
        </w:tc>
        <w:tc>
          <w:tcPr>
            <w:tcW w:type="dxa" w:w="1984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Sim</w:t>
            </w:r>
          </w:p>
        </w:tc>
      </w:tr>
      <w:tr>
        <w:tc>
          <w:tcPr>
            <w:tcW w:type="dxa" w:w="5102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Provisionar ClamAV em rede privada com StreamMaxLength &gt; 20 MB</w:t>
            </w:r>
          </w:p>
        </w:tc>
        <w:tc>
          <w:tcPr>
            <w:tcW w:type="dxa" w:w="2551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Infraestrutura / Segurança</w:t>
            </w:r>
          </w:p>
        </w:tc>
        <w:tc>
          <w:tcPr>
            <w:tcW w:type="dxa" w:w="1984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Sim</w:t>
            </w:r>
          </w:p>
        </w:tc>
      </w:tr>
      <w:tr>
        <w:tc>
          <w:tcPr>
            <w:tcW w:type="dxa" w:w="5102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Testar API interna do MPT em homologação (timeout, indisponibilidade, idempotência)</w:t>
            </w:r>
          </w:p>
        </w:tc>
        <w:tc>
          <w:tcPr>
            <w:tcW w:type="dxa" w:w="2551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Integrações</w:t>
            </w:r>
          </w:p>
        </w:tc>
        <w:tc>
          <w:tcPr>
            <w:tcW w:type="dxa" w:w="1984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Sim</w:t>
            </w:r>
          </w:p>
        </w:tc>
      </w:tr>
      <w:tr>
        <w:tc>
          <w:tcPr>
            <w:tcW w:type="dxa" w:w="5102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Teste de carga em staging com 100 uploads simultâneos</w:t>
            </w:r>
          </w:p>
        </w:tc>
        <w:tc>
          <w:tcPr>
            <w:tcW w:type="dxa" w:w="2551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Qualidade / Infra</w:t>
            </w:r>
          </w:p>
        </w:tc>
        <w:tc>
          <w:tcPr>
            <w:tcW w:type="dxa" w:w="1984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Sim</w:t>
            </w:r>
          </w:p>
        </w:tc>
      </w:tr>
      <w:tr>
        <w:tc>
          <w:tcPr>
            <w:tcW w:type="dxa" w:w="5102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Homologação em Safari real (macOS / iPhone)</w:t>
            </w:r>
          </w:p>
        </w:tc>
        <w:tc>
          <w:tcPr>
            <w:tcW w:type="dxa" w:w="2551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Qualidade</w:t>
            </w:r>
          </w:p>
        </w:tc>
        <w:tc>
          <w:tcPr>
            <w:tcW w:type="dxa" w:w="1984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Sim</w:t>
            </w:r>
          </w:p>
        </w:tc>
      </w:tr>
      <w:tr>
        <w:tc>
          <w:tcPr>
            <w:tcW w:type="dxa" w:w="5102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Retenção de logs de 10 dias e revisão de exportação de dados sensíveis</w:t>
            </w:r>
          </w:p>
        </w:tc>
        <w:tc>
          <w:tcPr>
            <w:tcW w:type="dxa" w:w="2551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Segurança</w:t>
            </w:r>
          </w:p>
        </w:tc>
        <w:tc>
          <w:tcPr>
            <w:tcW w:type="dxa" w:w="1984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Sim</w:t>
            </w:r>
          </w:p>
        </w:tc>
      </w:tr>
      <w:tr>
        <w:tc>
          <w:tcPr>
            <w:tcW w:type="dxa" w:w="5102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Plataforma de hospedagem, certificados, DNS, secrets e monitoramento</w:t>
            </w:r>
          </w:p>
        </w:tc>
        <w:tc>
          <w:tcPr>
            <w:tcW w:type="dxa" w:w="2551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DevOps</w:t>
            </w:r>
          </w:p>
        </w:tc>
        <w:tc>
          <w:tcPr>
            <w:tcW w:type="dxa" w:w="1984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Sim</w:t>
            </w:r>
          </w:p>
        </w:tc>
      </w:tr>
      <w:tr>
        <w:tc>
          <w:tcPr>
            <w:tcW w:type="dxa" w:w="5102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Homologação funcional pelos responsáveis pelo negócio</w:t>
            </w:r>
          </w:p>
        </w:tc>
        <w:tc>
          <w:tcPr>
            <w:tcW w:type="dxa" w:w="2551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Negócio</w:t>
            </w:r>
          </w:p>
        </w:tc>
        <w:tc>
          <w:tcPr>
            <w:tcW w:type="dxa" w:w="1984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Sim</w:t>
            </w:r>
          </w:p>
        </w:tc>
      </w:tr>
    </w:tbl>
    <w:p>
      <w:pPr>
        <w:spacing w:after="120" w:before="240"/>
        <w:jc w:val="left"/>
      </w:pPr>
      <w:r>
        <w:rPr>
          <w:rFonts w:ascii="Calibri" w:hAnsi="Calibri"/>
          <w:b/>
          <w:color w:val="0C6E64"/>
          <w:sz w:val="30"/>
        </w:rPr>
        <w:t>Riscos aceitos e não bloqueantes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Depreciação de @import no Sass usado pelo Bootstrap 5.3 — o build passa e a migração não traz retorno proporcional agora.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Avisos moderados na árvore de desenvolvimento do frontend (Angular/CLI) — dependências de produção sem vulnerabilidades.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Avisos documentais em OpenAPI (licença, servidor localhost, operationId, resposta 4xx).</w:t>
      </w:r>
    </w:p>
    <w:p>
      <w:pPr>
        <w:spacing w:after="120" w:before="240"/>
        <w:jc w:val="left"/>
      </w:pPr>
      <w:r>
        <w:rPr>
          <w:rFonts w:ascii="Calibri" w:hAnsi="Calibri"/>
          <w:b/>
          <w:color w:val="0C6E64"/>
          <w:sz w:val="30"/>
        </w:rPr>
        <w:t>Recomendação da equipe técnica</w:t>
      </w:r>
    </w:p>
    <w:p>
      <w:pPr>
        <w:spacing w:after="120" w:before="0"/>
        <w:jc w:val="both"/>
      </w:pPr>
      <w:r>
        <w:rPr>
          <w:rFonts w:ascii="Calibri" w:hAnsi="Calibri"/>
          <w:b w:val="0"/>
          <w:sz w:val="22"/>
        </w:rPr>
        <w:t>A sanitização proporcional foi concluída e não recomendamos novas refatorações estruturais neste momento. O próximo investimento com melhor retorno é homologar infraestrutura, integração e carga em ambiente real, e não continuar reorganizando o código.</w:t>
      </w:r>
    </w:p>
    <w:p>
      <w:pPr>
        <w:spacing w:after="120" w:before="120"/>
        <w:jc w:val="left"/>
      </w:pPr>
      <w:r>
        <w:rPr>
          <w:rFonts w:ascii="Calibri" w:hAnsi="Calibri"/>
          <w:b/>
          <w:color w:val="2E7D32"/>
          <w:sz w:val="24"/>
        </w:rPr>
        <w:t>Status técnico: Pronto para homologação.</w:t>
      </w:r>
    </w:p>
    <w:p>
      <w:pPr>
        <w:spacing w:after="120" w:before="0"/>
        <w:jc w:val="left"/>
      </w:pPr>
      <w:r>
        <w:rPr>
          <w:rFonts w:ascii="Calibri" w:hAnsi="Calibri"/>
          <w:b/>
          <w:color w:val="BF953F"/>
          <w:sz w:val="24"/>
        </w:rPr>
        <w:t>Status para produção: Aguardando dependências externas listadas acima.</w:t>
      </w:r>
    </w:p>
    <w:p>
      <w:pPr>
        <w:spacing w:after="120" w:before="240"/>
        <w:jc w:val="left"/>
      </w:pPr>
      <w:r>
        <w:rPr>
          <w:rFonts w:ascii="Calibri" w:hAnsi="Calibri"/>
          <w:b/>
          <w:color w:val="17335C"/>
          <w:sz w:val="24"/>
        </w:rPr>
        <w:t>Documentos de referência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Analises/RELATORIO_FINAL_SANITIZACAO_CODEBASE_DENUNCIAS.md — detalhamento dos 17 incrementos.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Analises/RELATORIO_ARQUIVOS_ALTERADOS_DENUNCIAS.md — melhoria arquivo por arquivo.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