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Calibri" w:hAnsi="Calibri"/>
          <w:b/>
          <w:color w:val="17365D"/>
          <w:sz w:val="30"/>
        </w:rPr>
        <w:t>MINISTÉRIO PÚBLICO DO TRABALHO</w:t>
      </w:r>
    </w:p>
    <w:p>
      <w:pPr>
        <w:jc w:val="center"/>
      </w:pPr>
      <w:r>
        <w:rPr>
          <w:color w:val="666666"/>
          <w:sz w:val="21"/>
        </w:rPr>
        <w:t>Procuradoria-Geral do Trabalho • Canal de Denúncias da Cidadania</w:t>
      </w:r>
    </w:p>
    <w:p>
      <w:pPr>
        <w:spacing w:before="840"/>
        <w:jc w:val="center"/>
      </w:pPr>
      <w:r>
        <w:rPr>
          <w:rFonts w:ascii="Calibri" w:hAnsi="Calibri"/>
          <w:b/>
          <w:color w:val="17365D"/>
          <w:sz w:val="48"/>
        </w:rPr>
        <w:t>RELATÓRIO EXECUTIVO FINAL</w:t>
        <w:br/>
        <w:t>DE SANITIZAÇÃO DO CODEBASE</w:t>
      </w:r>
    </w:p>
    <w:p>
      <w:pPr>
        <w:spacing w:before="200"/>
        <w:jc w:val="center"/>
      </w:pPr>
      <w:r>
        <w:rPr>
          <w:color w:val="365F91"/>
          <w:sz w:val="24"/>
        </w:rPr>
        <w:t>Resultados consolidados, evidências de qualidade, riscos residuais</w:t>
        <w:br/>
        <w:t>e plano de preparação para homologação e produção</w:t>
      </w:r>
    </w:p>
    <w:p>
      <w:pPr>
        <w:spacing w:before="800"/>
        <w:jc w:val="center"/>
      </w:pPr>
      <w:r>
        <w:rPr>
          <w:color w:val="666666"/>
          <w:sz w:val="20"/>
        </w:rPr>
        <w:t>Data-base: 21 de julho de 2026  |  Versão executiva 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548235"/>
                <w:sz w:val="22"/>
              </w:rPr>
              <w:t>STATUS EXECUTIVO: SANITIZAÇÃO CONCLUÍDA</w:t>
            </w:r>
          </w:p>
          <w:p>
            <w:pPr>
              <w:spacing w:after="0"/>
              <w:jc w:val="both"/>
            </w:pPr>
            <w:r>
              <w:rPr>
                <w:sz w:val="20"/>
              </w:rPr>
              <w:t>O codebase está apto a avançar para homologação. A entrada em produção permanece condicionada ao provisionamento e à validação das dependências externas, à carga real e à homologação do negócio.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Controle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Detalhamento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Objetivo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Apresentar à Diretoria o resultado final da sanitização, os ganhos obtidos, as evidências de qualidade e as decisões necessárias para a próxima etapa.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Escopo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Frontend Angular, backend Express, contrato OpenAPI, integrações, segurança, privacidade, acessibilidade, testes, uploads, Redis, ClamAV e documentação.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Fonte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RELATORIO_FINAL_SANITIZACAO_CODEBASE_DENUNCIAS.md, de 21/07/2026.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Premissas de produção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100 denúncias/hora; 500 usuários; 100 uploads simultâneos; 3 réplicas; Safari obrigatório; antimalware obrigatório; logs por 10 dias; disponibilidade sugerida de 99,5%.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Classificação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Uso interno — material executivo para decisão de homologação e preparação de produção.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1. Sumário executivo</w:t>
      </w:r>
    </w:p>
    <w:p>
      <w:pPr>
        <w:spacing w:after="100" w:line="259" w:lineRule="auto"/>
        <w:jc w:val="both"/>
      </w:pPr>
      <w:r>
        <w:rPr>
          <w:rFonts w:ascii="Calibri" w:hAnsi="Calibri"/>
          <w:i w:val="0"/>
          <w:sz w:val="21"/>
        </w:rPr>
        <w:t>A sanitização proporcional do Canal de Denúncias foi concluída com foco em confiabilidade do envio, segurança, privacidade, acessibilidade, modularidade e capacidade de operação. As alterações foram incrementais e reversíveis, preservaram a estrutura Angular/Express e evitaram uma reorganização arquitetural desproporcional ao porte da solução.</w:t>
      </w:r>
    </w:p>
    <w:p>
      <w:pPr>
        <w:spacing w:after="100" w:line="259" w:lineRule="auto"/>
        <w:jc w:val="both"/>
      </w:pPr>
      <w:r>
        <w:rPr>
          <w:rFonts w:ascii="Calibri" w:hAnsi="Calibri"/>
          <w:i w:val="0"/>
          <w:sz w:val="21"/>
        </w:rPr>
        <w:t>O principal resultado é a eliminação de falsos sucessos no envio: o cidadão somente recebe confirmação após a aceitação da denúncia pela API interna e a presença de protocolo válido. O backend agora diferencia falha da integração, ausência de configuração e sucesso real, alinhando a experiência do usuário ao contrato operacional.</w:t>
      </w:r>
    </w:p>
    <w:p>
      <w:pPr>
        <w:spacing w:after="100" w:line="259" w:lineRule="auto"/>
        <w:jc w:val="both"/>
      </w:pPr>
      <w:r>
        <w:rPr>
          <w:rFonts w:ascii="Calibri" w:hAnsi="Calibri"/>
          <w:i w:val="0"/>
          <w:sz w:val="21"/>
        </w:rPr>
        <w:t>Também foram introduzidos controles essenciais para o cenário de três réplicas e alta concorrência: rate limiting compartilhado via Redis, upload temporário em disco, varredura antimalware por ClamAV e encaminhamento por stream. Esses controles reduzem consumo de memória, evitam contadores inconsistentes e bloqueiam arquivos suspeitos antes da integração institucional.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DF3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17365D"/>
                <w:sz w:val="22"/>
              </w:rPr>
              <w:t>RECOMENDAÇÃO À DIRETORIA</w:t>
            </w:r>
          </w:p>
          <w:p>
            <w:pPr>
              <w:spacing w:after="0"/>
              <w:jc w:val="both"/>
            </w:pPr>
            <w:r>
              <w:rPr>
                <w:sz w:val="20"/>
              </w:rPr>
              <w:t>Autorizar a continuidade para ambiente de homologação, com plano conjunto entre Negócio, Infraestrutura, Segurança e operação da API interna. Não autorizar produção até o cumprimento dos oito critérios de prontidão apresentados na Seção 6.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Calibri" w:hAnsi="Calibri"/>
          <w:b/>
          <w:color w:val="365F91"/>
          <w:sz w:val="24"/>
        </w:rPr>
        <w:t>Indicadores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36"/>
              </w:rPr>
              <w:t>17</w:t>
            </w:r>
          </w:p>
        </w:tc>
        <w:tc>
          <w:tcPr>
            <w:tcW w:type="dxa" w:w="257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36"/>
              </w:rPr>
              <w:t>54/54</w:t>
            </w:r>
          </w:p>
        </w:tc>
        <w:tc>
          <w:tcPr>
            <w:tcW w:type="dxa" w:w="257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36"/>
              </w:rPr>
              <w:t>0</w:t>
            </w:r>
          </w:p>
        </w:tc>
        <w:tc>
          <w:tcPr>
            <w:tcW w:type="dxa" w:w="257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36"/>
              </w:rPr>
              <w:t>36%</w:t>
            </w:r>
          </w:p>
        </w:tc>
      </w:tr>
      <w:tr>
        <w:tc>
          <w:tcPr>
            <w:tcW w:type="dxa" w:w="257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incrementos concluídos</w:t>
            </w:r>
          </w:p>
        </w:tc>
        <w:tc>
          <w:tcPr>
            <w:tcW w:type="dxa" w:w="257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testes automatizados aprovados</w:t>
            </w:r>
          </w:p>
        </w:tc>
        <w:tc>
          <w:tcPr>
            <w:tcW w:type="dxa" w:w="257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vulnerabilidades de produção</w:t>
            </w:r>
          </w:p>
        </w:tc>
        <w:tc>
          <w:tcPr>
            <w:tcW w:type="dxa" w:w="2578"/>
            <w:shd w:fill="DCE6F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redução do bundle bruto</w:t>
            </w:r>
          </w:p>
        </w:tc>
      </w:tr>
    </w:tbl>
    <w:p/>
    <w:p>
      <w:pPr>
        <w:keepNext/>
        <w:spacing w:before="140" w:after="100"/>
      </w:pPr>
      <w:r>
        <w:rPr>
          <w:rFonts w:ascii="Calibri" w:hAnsi="Calibri"/>
          <w:b/>
          <w:color w:val="365F91"/>
          <w:sz w:val="24"/>
        </w:rPr>
        <w:t>Leitura executiva do estágio atual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Síntese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Sanitização do código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CONCLUÍDA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Contratos, modularidade, dependências, privacidade, acessibilidade e QA tratados.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Qualidade local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APROVADA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Lint sem erros; 8/8 testes frontend; 30/30 backend; 16/16 jornadas E2E.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Segurança de dependências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APROVADA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Auditoria de produção sem vulnerabilidades conhecidas no frontend e backend.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Homologação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65F9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PRÓXIMA ETAPA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Depende de ambiente, integrações reais, carga e validação funcional.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Produção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F8F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CONDICIONADA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Não liberar antes de Redis, ClamAV, API MPT, Safari real, observabilidade e aceite do negócio.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2. Resultados entregues por frente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Entrega consolidada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Valor para a instituição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Confiabilidade da denúncia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Confirmação somente após aceite da API MPT e protocolo válido; erros 502/503 coerentes; nova tentativa preservada no frontend.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Elimina a percepção de entrega quando não houve confirmação institucional.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Segurança e privacidade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Logs minimizados; CORS restrito; Swagger desabilitado em produção; dependências corrigidas; configuração essencial validada na inicialização.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Reduz exposição de dados, superfície pública e risco operacional.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Uploads e antimalware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Temporários em disco, nomes aleatórios, ClamAV INSTREAM, encaminhamento por stream, limpeza em sucesso e falha.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Evita até 200 MB por denúncia em memória e impede envio de ameaça à API interna.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Escalabilidade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Rate limit compartilhado em Redis entre três réplicas; falha do store bloqueia submissões; conexão encerrada com o servidor.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Mantém uma política única de limite e comportamento seguro em indisponibilidade.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Qualidade e compatibilidade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ESLint, Vitest, Supertest, Redocly, Playwright, axe, Chromium, Firefox e WebKit.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Amplia a detecção precoce de regressões funcionais, contratuais e de acessibilidade.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Desempenho frontend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Bootstrap completo substituído por módulos Sass necessários; bundle bruto caiu de 601,09 kB para 384,38 kB.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Atende aos budgets definidos sem alterar a experiência visual.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Manutenibilidade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Cliente MPT, serviço de denúncia e controller separados no backend; cliente HTTP e fachada de estado separados no frontend.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Reduz acoplamento e torna mudanças e testes mais localizados.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3. Rastreabilidade dos 17 incrementos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Incremento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Resultado verificável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Benefício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01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Planejamento brownfield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Inspeção prévia, preservação do trabalho local e backups separados.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Mudança incremental e reversível.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02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Toolchain reproduzível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Volta 2.0.2; Node 22.22.3; npm 11.11.0.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Execução consistente entre máquinas.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03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Falhas visíveis no frontend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Removidos protocolo fictício e confirmação sem protocolo.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Sem falso sucesso para o cidadão.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04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Contrato de sucesso backend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201 após aceite; 502 na rejeição/falha; 503 sem integração.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Contrato HTTP coerente e auditável.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05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Qualidade estática e testes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ESLint, Vitest, Supertest e validação OpenAPI.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Regressões detectadas antes da implantação.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06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Acessibilidade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Teclado, foco, rótulos, ARIA, contraste, semântica e axe.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Melhor uso assistivo sem alterar UI/UX.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07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Privacidade e padronização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Logs reduzidos, erros tipados e inject() padronizado.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Menor exposição de dados e código uniforme.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08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QA real de interface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Jornadas completas, retry, ausência de protocolo e acessibilidade.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Validação do comportamento observável.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09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Dependências seguras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Axios/Morgan e transitivas corrigidas; auditoria zerada.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Menos risco de vulnerabilidades conhecidas.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10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Bundle proporcional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601,09 kB → 384,38 kB; transferência de 85,26 kB.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Desempenho dentro dos budgets.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11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Modularidade backend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Cliente MPT, serviço e controller separados.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Integração e regras testáveis isoladamente.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12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Perímetro backend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Rate limit no POST, CORS restrito, Swagger off e trust proxy.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Proteção focada no endpoint público.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13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Modularidade frontend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Cliente HTTP separado da fachada de estado/navegação.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Componentes simples e contrato isolado.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14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Cobertura Firefox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Projeto Firefox; 12/12 jornadas aprovadas no incremento.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Menor dependência do Chromium.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15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Cobertura WebKit/Safari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Perfil Desktop Safari; 16/16 jornadas aprovadas.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Cobertura do motor Safari; falta dispositivo real.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16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Rate limit compartilhado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Redis externo, REDIS_URL obrigatória e fail-closed.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Política única nas três réplicas.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5"/>
              </w:rPr>
              <w:t>17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Upload seguro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Disco temporário, ClamAV, streaming e limpeza garantida.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Concorrência viável e malware bloqueado.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4. Evidências de qualidade e prontidão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Frontend ESLint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0 erros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Backend ESLint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0 erros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Testes unitários frontend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8/8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Testes backend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30/30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UI/UX Playwright + axe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16/16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Navegadores automatizados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Chromium desktop/mobile, Firefox e WebKit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Bundle inicial bruto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384,38 kB (budget: 500 kB)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Transferência estimada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85,26 kB (budget: 120 kB)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Auditoria frontend — produção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0 vulnerabilidades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Auditoria backend — produção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0 vulnerabilidades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  <w:t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Integridade do diff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Aprovada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48235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APROVADO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Calibri" w:hAnsi="Calibri"/>
          <w:b/>
          <w:color w:val="365F91"/>
          <w:sz w:val="24"/>
        </w:rPr>
        <w:t>Evolução de desempenho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Antes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Depois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Evolução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Bundle inicial bruto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601,09 kB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384,38 kB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−216,71 kB (−36,1%)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Limite bruto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Acima do budget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Abaixo de 500 kB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Budget atendido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Transferência estimada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Não consolidada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85,26 kB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Abaixo de 120 kB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Calibri" w:hAnsi="Calibri"/>
          <w:b/>
          <w:color w:val="365F91"/>
          <w:sz w:val="24"/>
        </w:rPr>
        <w:t>Cobertura de navegador</w:t>
      </w:r>
    </w:p>
    <w:p>
      <w:pPr>
        <w:spacing w:after="100" w:line="259" w:lineRule="auto"/>
        <w:jc w:val="both"/>
      </w:pPr>
      <w:r>
        <w:rPr>
          <w:rFonts w:ascii="Calibri" w:hAnsi="Calibri"/>
          <w:i w:val="0"/>
          <w:sz w:val="21"/>
        </w:rPr>
        <w:t>A automação cobre Chromium em perfis desktop e mobile, Firefox e WebKit com perfil Desktop Safari. O resultado reduz o risco de incompatibilidade entre motores, mas não substitui a homologação final em Safari real no macOS e/ou iPhone, especialmente para upload, permissões, foco, teclado e comportamento de rede.</w:t>
      </w: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5. Controles operacionais introduzidos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Comportamento esperado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Proteção gerada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API interna aceita a denúncia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Backend responde 201 com protocolo válido.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Confirmação confiável ao cidadão.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API interna rejeita ou falha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Backend responde 502; frontend exibe falha e permite nova tentativa.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Sem confirmação enganosa.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Integração obrigatória ausente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Backend responde 503 ou falha ao iniciar em produção.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Erro de configuração visível e seguro.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Arquivo contém ameaça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ClamAV identifica ameaça; endpoint responde 422; arquivo não é encaminhado.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Bloqueio de conteúdo malicioso.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Scanner indisponível/inválido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Endpoint responde 503 e não encaminha a denúncia.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Fail-closed no controle antimalware.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Redis indisponível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Store compartilhado bloqueia submissões.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Limite não é contornado entre réplicas.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6"/>
              </w:rPr>
              <w:t>Fim da requisição ou erro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Arquivos temporários são removidos.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Redução de resíduos e exposição local.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6. Plano de prontidão para homologação e produção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BF8F00"/>
                <w:sz w:val="22"/>
              </w:rPr>
              <w:t>GATE DE PRODUÇÃO</w:t>
            </w:r>
          </w:p>
          <w:p>
            <w:pPr>
              <w:spacing w:after="0"/>
              <w:jc w:val="both"/>
            </w:pPr>
            <w:r>
              <w:rPr>
                <w:sz w:val="20"/>
              </w:rPr>
              <w:t>A conclusão da sanitização não equivale à liberação de produção. Os itens abaixo dependem de infraestrutura, integrações e validação humana em ambiente representativo; devem ser tratados como critérios formais de aceite.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Pri.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Responsável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Ação requerida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Critério de aceite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0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Infraestrutura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Provisionar Redis gerenciado/compatível; testar REDIS_URL real com três réplicas.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Rate limit único, conexão segura e fail-closed comprovados.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F8F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PENDENTE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0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Segurança / Infra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Provisionar ClamAV em rede privada, assinaturas atualizadas, StreamMaxLength &gt; 20 MB e capacidade de fila/threads.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Arquivos limpos seguem; ameaça e indisponibilidade são bloqueadas.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F8F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PENDENTE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0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Performance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Executar carga em staging com 100 uploads simultâneos e tamanhos representativos.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Latência, disco, rede, Redis, ClamAV e API dentro dos limites acordados.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F8F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PENDENTE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0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Integração MPT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Validar API interna real, timeout, indisponibilidade e idempotência operacional.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Sem duplicidade e com respostas 201/502/503 consistentes.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F8F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PENDENTE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F8F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QA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Homologar jornadas em Safari real no macOS e/ou iPhone.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Fluxo completo aprovado em dispositivo real.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F8F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PENDENTE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0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Operações / LGPD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Configurar logs por 10 dias e verificar ausência de segredos, IPs e conteúdo da denúncia.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Retenção e minimização comprovadas.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F8F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PENDENTE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0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Plataforma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Definir hospedagem, certificados, DNS, secrets, réplicas, probes, monitoramento e alertas.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Ambiente observável, resiliente e operável.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F8F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PENDENTE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0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Negócio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Realizar homologação funcional com responsáveis do negócio.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Termo de aceite registrado.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F8F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PENDENTE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Calibri" w:hAnsi="Calibri"/>
          <w:b/>
          <w:color w:val="365F91"/>
          <w:sz w:val="24"/>
        </w:rPr>
        <w:t>Sequência recomendada</w:t>
      </w:r>
    </w:p>
    <w:p>
      <w:pPr>
        <w:pStyle w:val="ListBullet"/>
        <w:spacing w:after="60"/>
        <w:ind w:left="312" w:hanging="142"/>
      </w:pPr>
      <w:r>
        <w:rPr>
          <w:rFonts w:ascii="Calibri" w:hAnsi="Calibri"/>
          <w:sz w:val="20"/>
        </w:rPr>
        <w:t>1. Preparar staging com três réplicas, Redis, ClamAV, secrets e observabilidade.</w:t>
      </w:r>
    </w:p>
    <w:p>
      <w:pPr>
        <w:pStyle w:val="ListBullet"/>
        <w:spacing w:after="60"/>
        <w:ind w:left="312" w:hanging="142"/>
      </w:pPr>
      <w:r>
        <w:rPr>
          <w:rFonts w:ascii="Calibri" w:hAnsi="Calibri"/>
          <w:sz w:val="20"/>
        </w:rPr>
        <w:t>2. Validar a integração real da API MPT e os cenários de falha controlada.</w:t>
      </w:r>
    </w:p>
    <w:p>
      <w:pPr>
        <w:pStyle w:val="ListBullet"/>
        <w:spacing w:after="60"/>
        <w:ind w:left="312" w:hanging="142"/>
      </w:pPr>
      <w:r>
        <w:rPr>
          <w:rFonts w:ascii="Calibri" w:hAnsi="Calibri"/>
          <w:sz w:val="20"/>
        </w:rPr>
        <w:t>3. Executar testes de carga, segurança, recuperação e retenção de logs.</w:t>
      </w:r>
    </w:p>
    <w:p>
      <w:pPr>
        <w:pStyle w:val="ListBullet"/>
        <w:spacing w:after="60"/>
        <w:ind w:left="312" w:hanging="142"/>
      </w:pPr>
      <w:r>
        <w:rPr>
          <w:rFonts w:ascii="Calibri" w:hAnsi="Calibri"/>
          <w:sz w:val="20"/>
        </w:rPr>
        <w:t>4. Homologar Safari real e realizar a validação funcional do negócio.</w:t>
      </w:r>
    </w:p>
    <w:p>
      <w:pPr>
        <w:pStyle w:val="ListBullet"/>
        <w:spacing w:after="60"/>
        <w:ind w:left="312" w:hanging="142"/>
      </w:pPr>
      <w:r>
        <w:rPr>
          <w:rFonts w:ascii="Calibri" w:hAnsi="Calibri"/>
          <w:sz w:val="20"/>
        </w:rPr>
        <w:t>5. Consolidar evidências, registrar aceite e decidir o go/no-go de produção.</w:t>
      </w: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7. Riscos aceitos e itens não bloqueantes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Justificativa de aceite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Tratamento recomendado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Depreciação Sass @import / Bootstrap 5.3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Build aprovado; migração agora não oferece retorno proporcional.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Monitorar na próxima atualização de framework.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Avisos moderados na árvore de desenvolvimento Angular/CLI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Sem correção compatível segura; produção sem vulnerabilidades conhecidas na auditoria.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Reavaliar quando houver versão compatível.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Avisos documentais OpenAPI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Licença, localhost, operationId e resposta 4xx informacional não bloqueiam o contrato principal.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Incluir em ciclo documental futuro.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Backup combinado antigo preservado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Pasta mantida para evitar exclusão sem autorização.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Decisão de retenção/eliminação pelo responsável.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8. Decisões solicitadas à Diretoria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Efeito esperado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D1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Autorizar avanço para homologação condicionada.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Permite validar ambiente e integrações sem caracterizar liberação produtiva.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D2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Designar responsáveis e prazo para os oito critérios de prontidão.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Evita lacunas entre Negócio, Infraestrutura, Segurança e TI.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D3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Manter o gate de produção até evidências e aceite formal.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Protege a operação e a confiança do cidadão.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D4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Encerrar novas refatorações estruturais neste ciclo.</w:t>
            </w:r>
          </w:p>
        </w:tc>
        <w:tc>
          <w:tcPr>
            <w:tcW w:type="dxa" w:w="51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Direciona o investimento para homologação, carga e infraestrutura reais.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9. Conclusão</w:t>
      </w:r>
    </w:p>
    <w:p>
      <w:pPr>
        <w:spacing w:after="100" w:line="259" w:lineRule="auto"/>
        <w:jc w:val="both"/>
      </w:pPr>
      <w:r>
        <w:rPr>
          <w:rFonts w:ascii="Calibri" w:hAnsi="Calibri"/>
          <w:i w:val="0"/>
          <w:sz w:val="21"/>
        </w:rPr>
        <w:t>A sanitização proporcional do codebase foi concluída e demonstrada por evidências locais de qualidade, segurança de dependências, acessibilidade, compatibilidade entre motores de navegador e redução de bundle. O contrato de entrega da denúncia foi corrigido para eliminar falso sucesso, e o perímetro backend passou a contemplar controles compatíveis com três réplicas e uploads concorrentes.</w:t>
      </w:r>
    </w:p>
    <w:p>
      <w:pPr>
        <w:spacing w:after="100" w:line="259" w:lineRule="auto"/>
        <w:jc w:val="both"/>
      </w:pPr>
      <w:r>
        <w:rPr>
          <w:rFonts w:ascii="Calibri" w:hAnsi="Calibri"/>
          <w:i w:val="0"/>
          <w:sz w:val="21"/>
        </w:rPr>
        <w:t>Não há recomendação de novas refatorações estruturais neste momento. O melhor retorno institucional está na preparação de staging, no provisionamento de Redis e ClamAV, na validação da API interna, nos testes de carga e Safari real e na homologação funcional pelo negócio.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548235"/>
                <w:sz w:val="22"/>
              </w:rPr>
              <w:t>POSICIONAMENTO FINAL</w:t>
            </w:r>
          </w:p>
          <w:p>
            <w:pPr>
              <w:spacing w:after="0"/>
              <w:jc w:val="both"/>
            </w:pPr>
            <w:r>
              <w:rPr>
                <w:sz w:val="20"/>
              </w:rPr>
              <w:t>Código sanitizado e apto para homologação. Produção condicionada ao cumprimento documentado dos oito critérios de prontidão e à decisão formal de go/no-go.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Calibri" w:hAnsi="Calibri"/>
          <w:b/>
          <w:color w:val="17365D"/>
          <w:sz w:val="30"/>
        </w:rPr>
        <w:t>Anexo A — Referências técnicas e backups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Local / observação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Frontend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Raiz do repositório Angular.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Backend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server/.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Cliente API MPT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server/clients/mpt-api.client.js.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Serviço de denúncia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server/services/complaint.service.js.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Cliente HTTP frontend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src/app/clients/complaint-api.client.ts.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Backup — rate limit Redis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Analises/backups/backend/before_shared_redis_rate_limit.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Backup — upload/antimalware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Analises/backups/backend/before_secure_upload_antimalware.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17365D"/>
                <w:sz w:val="18"/>
              </w:rPr>
              <w:t>Backup combinado anterior</w:t>
            </w:r>
          </w:p>
        </w:tc>
        <w:tc>
          <w:tcPr>
            <w:tcW w:type="dxa" w:w="70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Analises/backups/before_contract_privacy_hardening — preservado.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color w:val="365F91"/>
        </w:rPr>
        <w:t>________________________________________________________</w:t>
      </w:r>
    </w:p>
    <w:p>
      <w:pPr>
        <w:jc w:val="center"/>
      </w:pPr>
      <w:r>
        <w:rPr>
          <w:b/>
          <w:color w:val="17365D"/>
          <w:sz w:val="20"/>
        </w:rPr>
        <w:t>Equipe de Arquitetura de Software e Engenharia da Informação</w:t>
        <w:br/>
        <w:t>Ministério Público do Trabalho — PGT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MPT • Canal de Denúncias • Sanitização do Codebase  |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365F91"/>
        <w:sz w:val="16"/>
      </w:rPr>
      <w:t>MPT  |  CANAL DE DENÚNCIAS  |  RELATÓRIO EXECUTIVO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Final de Sanitização do Codebase — Canal de Denúncias</dc:title>
  <dc:subject>Resultados, evidências e prontidão para homologação e produção</dc:subject>
  <dc:creator>Ministério Público do Trabalho — PGT</dc:creator>
  <cp:keywords>MPT, Diretoria, Codebase, Requisitos, Bugs, LGPD, Produção</cp:keywords>
  <dc:description>Gerado a partir do relatório final de sanitização, com identidade executiva baseada no relatório de requisitos V3.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