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152000" cy="3774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mp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52000" cy="3774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/>
        <w:jc w:val="center"/>
      </w:pPr>
      <w:r>
        <w:rPr>
          <w:rFonts w:ascii="Calibri" w:hAnsi="Calibri"/>
          <w:b/>
          <w:color w:val="5A5A5A"/>
          <w:sz w:val="20"/>
        </w:rPr>
        <w:t>MINISTÉRIO PÚBLICO DO TRABALHO</w:t>
      </w:r>
    </w:p>
    <w:p>
      <w:pPr>
        <w:spacing w:after="360" w:before="0"/>
        <w:jc w:val="center"/>
      </w:pPr>
      <w:r>
        <w:rPr>
          <w:rFonts w:ascii="Calibri" w:hAnsi="Calibri"/>
          <w:b w:val="0"/>
          <w:color w:val="5A5A5A"/>
          <w:sz w:val="22"/>
        </w:rPr>
        <w:t>Canal de Denúncias da Cidadania</w:t>
      </w:r>
    </w:p>
    <w:p>
      <w:pPr>
        <w:spacing w:after="60" w:before="0"/>
        <w:jc w:val="center"/>
      </w:pPr>
      <w:r>
        <w:rPr>
          <w:rFonts w:ascii="Calibri" w:hAnsi="Calibri"/>
          <w:b/>
          <w:color w:val="17335C"/>
          <w:sz w:val="48"/>
        </w:rPr>
        <w:t>RELATÓRIO EXECUTIVO DE REQUISITOS</w:t>
      </w:r>
    </w:p>
    <w:p>
      <w:pPr>
        <w:spacing w:after="320" w:before="0"/>
        <w:jc w:val="center"/>
      </w:pPr>
      <w:r>
        <w:rPr>
          <w:rFonts w:ascii="Calibri" w:hAnsi="Calibri"/>
          <w:b w:val="0"/>
          <w:color w:val="0C6E64"/>
          <w:sz w:val="26"/>
        </w:rPr>
        <w:t>Requisitos funcionais e não funcionais • conflitos • lacunas • questionário</w:t>
      </w:r>
    </w:p>
    <w:p>
      <w:pPr>
        <w:spacing w:after="80" w:before="0"/>
        <w:jc w:val="center"/>
      </w:pPr>
      <w:r>
        <w:rPr>
          <w:rFonts w:ascii="Calibri" w:hAnsi="Calibri"/>
          <w:b w:val="0"/>
          <w:color w:val="5A5A5A"/>
          <w:sz w:val="20"/>
        </w:rPr>
        <w:t>Versão 2.0  |  24/07/2026  |  Base: codebase local e worktree atual</w:t>
      </w:r>
    </w:p>
    <w:p>
      <w:pPr>
        <w:spacing w:after="480" w:before="0"/>
        <w:jc w:val="center"/>
      </w:pPr>
      <w:r>
        <w:rPr>
          <w:rFonts w:ascii="Calibri" w:hAnsi="Calibri"/>
          <w:b/>
          <w:color w:val="BF953F"/>
          <w:sz w:val="20"/>
        </w:rPr>
        <w:t>Documento para validação com usuários, requisitantes, jurídico/privacidade e analista de negócio</w:t>
      </w:r>
    </w:p>
    <w:p>
      <w:pPr>
        <w:spacing w:after="120" w:before="240"/>
        <w:jc w:val="left"/>
        <w:pBdr>
          <w:bottom w:val="single" w:sz="8" w:space="1" w:color="17335C"/>
        </w:pBdr>
      </w:pPr>
      <w:r>
        <w:rPr>
          <w:rFonts w:ascii="Calibri" w:hAnsi="Calibri"/>
          <w:b/>
          <w:color w:val="17335C"/>
          <w:sz w:val="40"/>
        </w:rPr>
        <w:t>Controle do documento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438"/>
            <w:vAlign w:val="center"/>
            <w:shd w:val="clear" w:color="auto" w:fill="17335C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6917"/>
            <w:vAlign w:val="center"/>
            <w:shd w:val="clear" w:color="auto" w:fill="17335C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Valor</w:t>
            </w:r>
          </w:p>
        </w:tc>
      </w:tr>
      <w:tr>
        <w:tc>
          <w:tcPr>
            <w:tcW w:type="dxa" w:w="2438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Finalidade</w:t>
            </w:r>
          </w:p>
        </w:tc>
        <w:tc>
          <w:tcPr>
            <w:tcW w:type="dxa" w:w="6917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Consolidar requisitos observados e decisões pendentes antes da produção.</w:t>
            </w:r>
          </w:p>
        </w:tc>
      </w:tr>
      <w:tr>
        <w:tc>
          <w:tcPr>
            <w:tcW w:type="dxa" w:w="2438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Escopo analisado</w:t>
            </w:r>
          </w:p>
        </w:tc>
        <w:tc>
          <w:tcPr>
            <w:tcW w:type="dxa" w:w="6917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Frontend Angular, BFF Express, contratos, segurança, testes e documentos locais.</w:t>
            </w:r>
          </w:p>
        </w:tc>
      </w:tr>
      <w:tr>
        <w:tc>
          <w:tcPr>
            <w:tcW w:type="dxa" w:w="2438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Não constitui</w:t>
            </w:r>
          </w:p>
        </w:tc>
        <w:tc>
          <w:tcPr>
            <w:tcW w:type="dxa" w:w="6917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Especificação formal aprovada, parecer jurídico ou aceite de produção.</w:t>
            </w:r>
          </w:p>
        </w:tc>
      </w:tr>
      <w:tr>
        <w:tc>
          <w:tcPr>
            <w:tcW w:type="dxa" w:w="2438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Fonte de verdade desta versão</w:t>
            </w:r>
          </w:p>
        </w:tc>
        <w:tc>
          <w:tcPr>
            <w:tcW w:type="dxa" w:w="6917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Código local em 24/07/2026; divergências documentais foram registradas.</w:t>
            </w:r>
          </w:p>
        </w:tc>
      </w:tr>
      <w:tr>
        <w:tc>
          <w:tcPr>
            <w:tcW w:type="dxa" w:w="2438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Arquivo anterior preservado</w:t>
            </w:r>
          </w:p>
        </w:tc>
        <w:tc>
          <w:tcPr>
            <w:tcW w:type="dxa" w:w="6917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RELATORIO_REQUISITOS_DIRETORIA.docx não foi sobrescrito.</w:t>
            </w:r>
          </w:p>
        </w:tc>
      </w:tr>
    </w:tbl>
    <w:p>
      <w:pPr>
        <w:spacing w:after="120" w:before="240"/>
        <w:jc w:val="left"/>
        <w:pBdr>
          <w:bottom w:val="single" w:sz="8" w:space="1" w:color="17335C"/>
        </w:pBdr>
      </w:pPr>
      <w:r>
        <w:rPr>
          <w:rFonts w:ascii="Calibri" w:hAnsi="Calibri"/>
          <w:b/>
          <w:color w:val="17335C"/>
          <w:sz w:val="40"/>
        </w:rPr>
        <w:t>Sumário executivo</w:t>
      </w:r>
    </w:p>
    <w:p>
      <w:pPr>
        <w:spacing w:after="120" w:before="0"/>
        <w:jc w:val="both"/>
      </w:pPr>
      <w:r>
        <w:rPr>
          <w:rFonts w:ascii="Calibri" w:hAnsi="Calibri"/>
          <w:b w:val="0"/>
          <w:sz w:val="22"/>
        </w:rPr>
        <w:t>A aplicação implementa o núcleo de registro e encaminhamento de denúncias: wizard, anonimato/identificação, anexos, revisão, antimalware, integração com a API MPT, protocolo e tratamento de falhas. A arquitetura é adequada ao porte e está coberta por testes. Entretanto, o código não equivale a uma especificação de negócio aprovada. Há promessas visuais e de privacidade que não possuem comportamento equivalente, além de requisitos operacionais ainda dependentes de infraestrutura e homologação.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6236"/>
            <w:vAlign w:val="center"/>
            <w:shd w:val="clear" w:color="auto" w:fill="17335C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Indicador</w:t>
            </w:r>
          </w:p>
        </w:tc>
        <w:tc>
          <w:tcPr>
            <w:tcW w:type="dxa" w:w="3118"/>
            <w:vAlign w:val="center"/>
            <w:shd w:val="clear" w:color="auto" w:fill="17335C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Resultado</w:t>
            </w:r>
          </w:p>
        </w:tc>
      </w:tr>
      <w:tr>
        <w:tc>
          <w:tcPr>
            <w:tcW w:type="dxa" w:w="6236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Requisitos funcionais extraídos</w:t>
            </w:r>
          </w:p>
        </w:tc>
        <w:tc>
          <w:tcPr>
            <w:tcW w:type="dxa" w:w="3118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30</w:t>
            </w:r>
          </w:p>
        </w:tc>
      </w:tr>
      <w:tr>
        <w:tc>
          <w:tcPr>
            <w:tcW w:type="dxa" w:w="6236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RF implementados</w:t>
            </w:r>
          </w:p>
        </w:tc>
        <w:tc>
          <w:tcPr>
            <w:tcW w:type="dxa" w:w="3118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22</w:t>
            </w:r>
          </w:p>
        </w:tc>
      </w:tr>
      <w:tr>
        <w:tc>
          <w:tcPr>
            <w:tcW w:type="dxa" w:w="6236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RF parciais</w:t>
            </w:r>
          </w:p>
        </w:tc>
        <w:tc>
          <w:tcPr>
            <w:tcW w:type="dxa" w:w="3118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4</w:t>
            </w:r>
          </w:p>
        </w:tc>
      </w:tr>
      <w:tr>
        <w:tc>
          <w:tcPr>
            <w:tcW w:type="dxa" w:w="6236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RF somente visuais ou ausentes</w:t>
            </w:r>
          </w:p>
        </w:tc>
        <w:tc>
          <w:tcPr>
            <w:tcW w:type="dxa" w:w="3118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4</w:t>
            </w:r>
          </w:p>
        </w:tc>
      </w:tr>
      <w:tr>
        <w:tc>
          <w:tcPr>
            <w:tcW w:type="dxa" w:w="6236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Requisitos não funcionais extraídos</w:t>
            </w:r>
          </w:p>
        </w:tc>
        <w:tc>
          <w:tcPr>
            <w:tcW w:type="dxa" w:w="3118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27</w:t>
            </w:r>
          </w:p>
        </w:tc>
      </w:tr>
      <w:tr>
        <w:tc>
          <w:tcPr>
            <w:tcW w:type="dxa" w:w="6236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Conflitos/ambiguidades documentados</w:t>
            </w:r>
          </w:p>
        </w:tc>
        <w:tc>
          <w:tcPr>
            <w:tcW w:type="dxa" w:w="3118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19</w:t>
            </w:r>
          </w:p>
        </w:tc>
      </w:tr>
      <w:tr>
        <w:tc>
          <w:tcPr>
            <w:tcW w:type="dxa" w:w="6236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Lacunas priorizadas</w:t>
            </w:r>
          </w:p>
        </w:tc>
        <w:tc>
          <w:tcPr>
            <w:tcW w:type="dxa" w:w="3118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20</w:t>
            </w:r>
          </w:p>
        </w:tc>
      </w:tr>
      <w:tr>
        <w:tc>
          <w:tcPr>
            <w:tcW w:type="dxa" w:w="6236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Perguntas para stakeholders</w:t>
            </w:r>
          </w:p>
        </w:tc>
        <w:tc>
          <w:tcPr>
            <w:tcW w:type="dxa" w:w="3118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63</w:t>
            </w:r>
          </w:p>
        </w:tc>
      </w:tr>
    </w:tbl>
    <w:p>
      <w:pPr>
        <w:spacing w:after="120" w:before="240"/>
        <w:jc w:val="left"/>
      </w:pPr>
      <w:r>
        <w:rPr>
          <w:rFonts w:ascii="Calibri" w:hAnsi="Calibri"/>
          <w:b/>
          <w:color w:val="0C6E64"/>
          <w:sz w:val="30"/>
        </w:rPr>
        <w:t>Decisões executivas prioritárias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Definir se áudio é requisito real e o que significa anonimização da voz.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Definir juridicamente e tecnicamente anonimato, sigilo e tratamento de dados pessoais.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Definir campos obrigatórios e impedir avanço/envio inconsistente.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Fechar política de anexos: tipos, limites, assinatura real, infecção e retenção.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Acordar idempotência, protocolo, acompanhamento e indisponibilidade da API MPT.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Formalizar SLO, carga, logs, readiness, infraestrutura Azure e critérios de produção.</w:t>
      </w:r>
    </w:p>
    <w:p>
      <w:pPr>
        <w:spacing w:after="120" w:before="240"/>
        <w:jc w:val="left"/>
      </w:pPr>
      <w:r>
        <w:rPr>
          <w:rFonts w:ascii="Calibri" w:hAnsi="Calibri"/>
          <w:b/>
          <w:color w:val="0C6E64"/>
          <w:sz w:val="30"/>
        </w:rPr>
        <w:t>Situação para produção</w:t>
      </w:r>
    </w:p>
    <w:p>
      <w:pPr>
        <w:spacing w:after="120" w:before="0"/>
        <w:jc w:val="left"/>
      </w:pPr>
      <w:r>
        <w:rPr>
          <w:rFonts w:ascii="Calibri" w:hAnsi="Calibri"/>
          <w:b/>
          <w:color w:val="C62828"/>
          <w:sz w:val="22"/>
        </w:rPr>
        <w:t>Conclusão executiva: apto para homologação controlada, mas não aprovado para produção. Os bloqueadores são decisões de negócio/privacidade, assinatura real de arquivos, readiness, idempotência, infraestrutura Redis/ClamAV real, carga, Safari real e aceite dos usuários responsáveis.</w:t>
      </w:r>
    </w:p>
    <w:p>
      <w:pPr>
        <w:spacing w:after="120" w:before="240"/>
        <w:jc w:val="left"/>
        <w:pBdr>
          <w:bottom w:val="single" w:sz="8" w:space="1" w:color="17335C"/>
        </w:pBdr>
      </w:pPr>
      <w:r>
        <w:rPr>
          <w:rFonts w:ascii="Calibri" w:hAnsi="Calibri"/>
          <w:b/>
          <w:color w:val="17335C"/>
          <w:sz w:val="40"/>
        </w:rPr>
        <w:t>Método e limitações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Leitura do modelo de domínio, componentes, serviços, clientes, middleware, rotas e configuração.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Cruzamento com planejamento.md, spec_design.md, AGENTS.md, README, env.template e relatórios de testes.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Rastreabilidade até arquivos do codebase; requisitos operacionais informados pelo requisitante foram identificados como tal.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Testes reportados em 24/07/2026: 30 backend, 8 frontend e 16 E2E aprovados; não substituem aceite de negócio.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Ausência no código não significa automaticamente que o requisito deve existir: itens marcados como lacuna exigem decisão.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Questões jurídicas e LGPD precisam de validação humana competente.</w:t>
      </w:r>
    </w:p>
    <w:p>
      <w:r>
        <w:br w:type="page"/>
      </w:r>
    </w:p>
    <w:p>
      <w:pPr>
        <w:spacing w:after="120" w:before="240"/>
        <w:jc w:val="left"/>
        <w:pBdr>
          <w:bottom w:val="single" w:sz="8" w:space="1" w:color="17335C"/>
        </w:pBdr>
      </w:pPr>
      <w:r>
        <w:rPr>
          <w:rFonts w:ascii="Calibri" w:hAnsi="Calibri"/>
          <w:b/>
          <w:color w:val="17335C"/>
          <w:sz w:val="40"/>
        </w:rPr>
        <w:t>1. Visão da solução e atores</w:t>
      </w:r>
    </w:p>
    <w:p>
      <w:pPr>
        <w:spacing w:after="120" w:before="0"/>
        <w:jc w:val="left"/>
      </w:pPr>
      <w:r>
        <w:rPr>
          <w:rFonts w:ascii="Calibri" w:hAnsi="Calibri"/>
          <w:b/>
          <w:color w:val="0C6E64"/>
          <w:sz w:val="22"/>
        </w:rPr>
        <w:t>Fluxo atual: cidadão → SPA Angular → BFF Express → ClamAV/Redis → API interna MPT.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551"/>
            <w:vAlign w:val="center"/>
            <w:shd w:val="clear" w:color="auto" w:fill="17335C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Ator</w:t>
            </w:r>
          </w:p>
        </w:tc>
        <w:tc>
          <w:tcPr>
            <w:tcW w:type="dxa" w:w="6803"/>
            <w:vAlign w:val="center"/>
            <w:shd w:val="clear" w:color="auto" w:fill="17335C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Interesse / responsabilidade</w:t>
            </w:r>
          </w:p>
        </w:tc>
      </w:tr>
      <w:tr>
        <w:tc>
          <w:tcPr>
            <w:tcW w:type="dxa" w:w="2551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Denunciante anônimo</w:t>
            </w:r>
          </w:p>
        </w:tc>
        <w:tc>
          <w:tcPr>
            <w:tcW w:type="dxa" w:w="6803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Relatar fatos sem fornecer identidade; receber protocolo.</w:t>
            </w:r>
          </w:p>
        </w:tc>
      </w:tr>
      <w:tr>
        <w:tc>
          <w:tcPr>
            <w:tcW w:type="dxa" w:w="2551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Denunciante identificado</w:t>
            </w:r>
          </w:p>
        </w:tc>
        <w:tc>
          <w:tcPr>
            <w:tcW w:type="dxa" w:w="6803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Relatar fatos, fornecer contato e eventualmente receber retorno.</w:t>
            </w:r>
          </w:p>
        </w:tc>
      </w:tr>
      <w:tr>
        <w:tc>
          <w:tcPr>
            <w:tcW w:type="dxa" w:w="2551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Representante/sindicato/advogado</w:t>
            </w:r>
          </w:p>
        </w:tc>
        <w:tc>
          <w:tcPr>
            <w:tcW w:type="dxa" w:w="6803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Público citado na documentação, sem comportamento diferenciado no código.</w:t>
            </w:r>
          </w:p>
        </w:tc>
      </w:tr>
      <w:tr>
        <w:tc>
          <w:tcPr>
            <w:tcW w:type="dxa" w:w="2551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Equipe de triagem MPT</w:t>
            </w:r>
          </w:p>
        </w:tc>
        <w:tc>
          <w:tcPr>
            <w:tcW w:type="dxa" w:w="6803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Receber payload e anexos na API interna; classificar e tratar.</w:t>
            </w:r>
          </w:p>
        </w:tc>
      </w:tr>
      <w:tr>
        <w:tc>
          <w:tcPr>
            <w:tcW w:type="dxa" w:w="2551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Administrador/Operação</w:t>
            </w:r>
          </w:p>
        </w:tc>
        <w:tc>
          <w:tcPr>
            <w:tcW w:type="dxa" w:w="6803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Manter BFF, Redis, ClamAV, secrets, logs, monitoramento e disponibilidade.</w:t>
            </w:r>
          </w:p>
        </w:tc>
      </w:tr>
      <w:tr>
        <w:tc>
          <w:tcPr>
            <w:tcW w:type="dxa" w:w="2551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Analista de negócio</w:t>
            </w:r>
          </w:p>
        </w:tc>
        <w:tc>
          <w:tcPr>
            <w:tcW w:type="dxa" w:w="6803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Fechar regras, obrigatoriedade, taxonomia, mensagens e critérios de aceite.</w:t>
            </w:r>
          </w:p>
        </w:tc>
      </w:tr>
      <w:tr>
        <w:tc>
          <w:tcPr>
            <w:tcW w:type="dxa" w:w="2551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Jurídico/Privacidade</w:t>
            </w:r>
          </w:p>
        </w:tc>
        <w:tc>
          <w:tcPr>
            <w:tcW w:type="dxa" w:w="6803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Validar sigilo, anonimato, base legal, transparência, retenção e acesso.</w:t>
            </w:r>
          </w:p>
        </w:tc>
      </w:tr>
      <w:tr>
        <w:tc>
          <w:tcPr>
            <w:tcW w:type="dxa" w:w="2551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QA/Acessibilidade</w:t>
            </w:r>
          </w:p>
        </w:tc>
        <w:tc>
          <w:tcPr>
            <w:tcW w:type="dxa" w:w="6803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Validar navegadores, carga, falhas, WCAG/eMAG e homologação.</w:t>
            </w:r>
          </w:p>
        </w:tc>
      </w:tr>
    </w:tbl>
    <w:p>
      <w:pPr>
        <w:spacing w:after="120" w:before="240"/>
        <w:jc w:val="left"/>
        <w:pBdr>
          <w:bottom w:val="single" w:sz="8" w:space="1" w:color="17335C"/>
        </w:pBdr>
      </w:pPr>
      <w:r>
        <w:rPr>
          <w:rFonts w:ascii="Calibri" w:hAnsi="Calibri"/>
          <w:b/>
          <w:color w:val="17335C"/>
          <w:sz w:val="40"/>
        </w:rPr>
        <w:t>2. Requisitos funcionais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rPr>
          <w:tblHeader w:val="true"/>
        </w:trPr>
        <w:tc>
          <w:tcPr>
            <w:tcW w:type="dxa" w:w="737"/>
            <w:vAlign w:val="center"/>
            <w:shd w:val="clear" w:color="auto" w:fill="17335C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3458"/>
            <w:vAlign w:val="center"/>
            <w:shd w:val="clear" w:color="auto" w:fill="17335C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Requisito</w:t>
            </w:r>
          </w:p>
        </w:tc>
        <w:tc>
          <w:tcPr>
            <w:tcW w:type="dxa" w:w="1247"/>
            <w:vAlign w:val="center"/>
            <w:shd w:val="clear" w:color="auto" w:fill="17335C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Situação</w:t>
            </w:r>
          </w:p>
        </w:tc>
        <w:tc>
          <w:tcPr>
            <w:tcW w:type="dxa" w:w="1928"/>
            <w:vAlign w:val="center"/>
            <w:shd w:val="clear" w:color="auto" w:fill="17335C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Evidência</w:t>
            </w:r>
          </w:p>
        </w:tc>
        <w:tc>
          <w:tcPr>
            <w:tcW w:type="dxa" w:w="1984"/>
            <w:vAlign w:val="center"/>
            <w:shd w:val="clear" w:color="auto" w:fill="17335C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Observação</w:t>
            </w:r>
          </w:p>
        </w:tc>
      </w:tr>
      <w:tr>
        <w:tc>
          <w:tcPr>
            <w:tcW w:type="dxa" w:w="737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RF-01</w:t>
            </w:r>
          </w:p>
        </w:tc>
        <w:tc>
          <w:tcPr>
            <w:tcW w:type="dxa" w:w="3458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Apresentar acolhimento e permitir iniciar uma denúncia.</w:t>
            </w:r>
          </w:p>
        </w:tc>
        <w:tc>
          <w:tcPr>
            <w:tcW w:type="dxa" w:w="1247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  <w:shd w:val="clear" w:color="auto" w:fill="E2F0D9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Implementado</w:t>
            </w:r>
          </w:p>
        </w:tc>
        <w:tc>
          <w:tcPr>
            <w:tcW w:type="dxa" w:w="1928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src/app/components/acolhimento</w:t>
            </w:r>
          </w:p>
        </w:tc>
        <w:tc>
          <w:tcPr>
            <w:tcW w:type="dxa" w:w="1984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A ação “Denunciar” inicia o wizard.</w:t>
            </w:r>
          </w:p>
        </w:tc>
      </w:tr>
      <w:tr>
        <w:tc>
          <w:tcPr>
            <w:tcW w:type="dxa" w:w="737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RF-02</w:t>
            </w:r>
          </w:p>
        </w:tc>
        <w:tc>
          <w:tcPr>
            <w:tcW w:type="dxa" w:w="3458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Apresentar vídeo explicativo de 45 segundos.</w:t>
            </w:r>
          </w:p>
        </w:tc>
        <w:tc>
          <w:tcPr>
            <w:tcW w:type="dxa" w:w="1247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  <w:shd w:val="clear" w:color="auto" w:fill="FCE4D6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Somente visual</w:t>
            </w:r>
          </w:p>
        </w:tc>
        <w:tc>
          <w:tcPr>
            <w:tcW w:type="dxa" w:w="1928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acolhimento.html#video-institucional</w:t>
            </w:r>
          </w:p>
        </w:tc>
        <w:tc>
          <w:tcPr>
            <w:tcW w:type="dxa" w:w="1984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Há placeholder; não existe mídia nem ação de reprodução.</w:t>
            </w:r>
          </w:p>
        </w:tc>
      </w:tr>
      <w:tr>
        <w:tc>
          <w:tcPr>
            <w:tcW w:type="dxa" w:w="737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RF-03</w:t>
            </w:r>
          </w:p>
        </w:tc>
        <w:tc>
          <w:tcPr>
            <w:tcW w:type="dxa" w:w="3458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Oferecer fluxos alternativos para denúncia de órgão público e contato com a Ouvidoria.</w:t>
            </w:r>
          </w:p>
        </w:tc>
        <w:tc>
          <w:tcPr>
            <w:tcW w:type="dxa" w:w="1247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  <w:shd w:val="clear" w:color="auto" w:fill="FCE4D6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Somente visual</w:t>
            </w:r>
          </w:p>
        </w:tc>
        <w:tc>
          <w:tcPr>
            <w:tcW w:type="dxa" w:w="1928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acolhimento.html</w:t>
            </w:r>
          </w:p>
        </w:tc>
        <w:tc>
          <w:tcPr>
            <w:tcW w:type="dxa" w:w="1984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Os cards não possuem evento, rota ou link.</w:t>
            </w:r>
          </w:p>
        </w:tc>
      </w:tr>
      <w:tr>
        <w:tc>
          <w:tcPr>
            <w:tcW w:type="dxa" w:w="737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RF-04</w:t>
            </w:r>
          </w:p>
        </w:tc>
        <w:tc>
          <w:tcPr>
            <w:tcW w:type="dxa" w:w="3458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Conduzir o usuário em wizard com seis etapas, revisão e confirmação.</w:t>
            </w:r>
          </w:p>
        </w:tc>
        <w:tc>
          <w:tcPr>
            <w:tcW w:type="dxa" w:w="1247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  <w:shd w:val="clear" w:color="auto" w:fill="E2F0D9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Implementado</w:t>
            </w:r>
          </w:p>
        </w:tc>
        <w:tc>
          <w:tcPr>
            <w:tcW w:type="dxa" w:w="1928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app.html; ComplaintService</w:t>
            </w:r>
          </w:p>
        </w:tc>
        <w:tc>
          <w:tcPr>
            <w:tcW w:type="dxa" w:w="1984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Estado controlado por signals, sem rotas por etapa.</w:t>
            </w:r>
          </w:p>
        </w:tc>
      </w:tr>
      <w:tr>
        <w:tc>
          <w:tcPr>
            <w:tcW w:type="dxa" w:w="737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RF-05</w:t>
            </w:r>
          </w:p>
        </w:tc>
        <w:tc>
          <w:tcPr>
            <w:tcW w:type="dxa" w:w="3458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Preservar os dados ao avançar, voltar e editar etapas durante a sessão.</w:t>
            </w:r>
          </w:p>
        </w:tc>
        <w:tc>
          <w:tcPr>
            <w:tcW w:type="dxa" w:w="1247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  <w:shd w:val="clear" w:color="auto" w:fill="E2F0D9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Implementado</w:t>
            </w:r>
          </w:p>
        </w:tc>
        <w:tc>
          <w:tcPr>
            <w:tcW w:type="dxa" w:w="1928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ComplaintService; componentes OnDestroy</w:t>
            </w:r>
          </w:p>
        </w:tc>
        <w:tc>
          <w:tcPr>
            <w:tcW w:type="dxa" w:w="1984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Não persiste após recarregar/fechar o navegador.</w:t>
            </w:r>
          </w:p>
        </w:tc>
      </w:tr>
      <w:tr>
        <w:tc>
          <w:tcPr>
            <w:tcW w:type="dxa" w:w="737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RF-06</w:t>
            </w:r>
          </w:p>
        </w:tc>
        <w:tc>
          <w:tcPr>
            <w:tcW w:type="dxa" w:w="3458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Selecionar uma ou mais categorias de irregularidade entre seis opções.</w:t>
            </w:r>
          </w:p>
        </w:tc>
        <w:tc>
          <w:tcPr>
            <w:tcW w:type="dxa" w:w="1247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  <w:shd w:val="clear" w:color="auto" w:fill="E2F0D9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Implementado</w:t>
            </w:r>
          </w:p>
        </w:tc>
        <w:tc>
          <w:tcPr>
            <w:tcW w:type="dxa" w:w="1928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complaint.model.ts#IRREGULARIDADES</w:t>
            </w:r>
          </w:p>
        </w:tc>
        <w:tc>
          <w:tcPr>
            <w:tcW w:type="dxa" w:w="1984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Jornada, CTPS, EPI, assédio, salários e outros.</w:t>
            </w:r>
          </w:p>
        </w:tc>
      </w:tr>
      <w:tr>
        <w:tc>
          <w:tcPr>
            <w:tcW w:type="dxa" w:w="737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RF-07</w:t>
            </w:r>
          </w:p>
        </w:tc>
        <w:tc>
          <w:tcPr>
            <w:tcW w:type="dxa" w:w="3458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Registrar relato textual livre.</w:t>
            </w:r>
          </w:p>
        </w:tc>
        <w:tc>
          <w:tcPr>
            <w:tcW w:type="dxa" w:w="1247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  <w:shd w:val="clear" w:color="auto" w:fill="E2F0D9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Implementado</w:t>
            </w:r>
          </w:p>
        </w:tc>
        <w:tc>
          <w:tcPr>
            <w:tcW w:type="dxa" w:w="1928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step-irregularidades</w:t>
            </w:r>
          </w:p>
        </w:tc>
        <w:tc>
          <w:tcPr>
            <w:tcW w:type="dxa" w:w="1984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Relato ou ao menos uma categoria é obrigatório no backend.</w:t>
            </w:r>
          </w:p>
        </w:tc>
      </w:tr>
      <w:tr>
        <w:tc>
          <w:tcPr>
            <w:tcW w:type="dxa" w:w="737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RF-08</w:t>
            </w:r>
          </w:p>
        </w:tc>
        <w:tc>
          <w:tcPr>
            <w:tcW w:type="dxa" w:w="3458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Gravar relato em áudio e, se aplicável, produzir transcrição.</w:t>
            </w:r>
          </w:p>
        </w:tc>
        <w:tc>
          <w:tcPr>
            <w:tcW w:type="dxa" w:w="1247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  <w:shd w:val="clear" w:color="auto" w:fill="FFF2CC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Parcial</w:t>
            </w:r>
          </w:p>
        </w:tc>
        <w:tc>
          <w:tcPr>
            <w:tcW w:type="dxa" w:w="1928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step-irregularidades; complaint.model.ts</w:t>
            </w:r>
          </w:p>
        </w:tc>
        <w:tc>
          <w:tcPr>
            <w:tcW w:type="dxa" w:w="1984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O Blob é criado, mas não é anexado, transmitido, transcrito ou revisado.</w:t>
            </w:r>
          </w:p>
        </w:tc>
      </w:tr>
      <w:tr>
        <w:tc>
          <w:tcPr>
            <w:tcW w:type="dxa" w:w="737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RF-09</w:t>
            </w:r>
          </w:p>
        </w:tc>
        <w:tc>
          <w:tcPr>
            <w:tcW w:type="dxa" w:w="3458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Registrar período, modalidade, número de prejudicados, funções/setores e nomes/dados.</w:t>
            </w:r>
          </w:p>
        </w:tc>
        <w:tc>
          <w:tcPr>
            <w:tcW w:type="dxa" w:w="1247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  <w:shd w:val="clear" w:color="auto" w:fill="E2F0D9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Implementado</w:t>
            </w:r>
          </w:p>
        </w:tc>
        <w:tc>
          <w:tcPr>
            <w:tcW w:type="dxa" w:w="1928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step-ocorrencias</w:t>
            </w:r>
          </w:p>
        </w:tc>
        <w:tc>
          <w:tcPr>
            <w:tcW w:type="dxa" w:w="1984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Todos os campos são opcionais na lógica atual.</w:t>
            </w:r>
          </w:p>
        </w:tc>
      </w:tr>
      <w:tr>
        <w:tc>
          <w:tcPr>
            <w:tcW w:type="dxa" w:w="737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RF-10</w:t>
            </w:r>
          </w:p>
        </w:tc>
        <w:tc>
          <w:tcPr>
            <w:tcW w:type="dxa" w:w="3458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Indicar grupos vulneráveis envolvidos.</w:t>
            </w:r>
          </w:p>
        </w:tc>
        <w:tc>
          <w:tcPr>
            <w:tcW w:type="dxa" w:w="1247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  <w:shd w:val="clear" w:color="auto" w:fill="E2F0D9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Implementado</w:t>
            </w:r>
          </w:p>
        </w:tc>
        <w:tc>
          <w:tcPr>
            <w:tcW w:type="dxa" w:w="1928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step-evidencias</w:t>
            </w:r>
          </w:p>
        </w:tc>
        <w:tc>
          <w:tcPr>
            <w:tcW w:type="dxa" w:w="1984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Opções atuais: crianças/adolescentes e pessoas com deficiência.</w:t>
            </w:r>
          </w:p>
        </w:tc>
      </w:tr>
      <w:tr>
        <w:tc>
          <w:tcPr>
            <w:tcW w:type="dxa" w:w="737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RF-11</w:t>
            </w:r>
          </w:p>
        </w:tc>
        <w:tc>
          <w:tcPr>
            <w:tcW w:type="dxa" w:w="3458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Anexar múltiplas imagens, áudios, vídeos e documentos.</w:t>
            </w:r>
          </w:p>
        </w:tc>
        <w:tc>
          <w:tcPr>
            <w:tcW w:type="dxa" w:w="1247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  <w:shd w:val="clear" w:color="auto" w:fill="E2F0D9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Implementado</w:t>
            </w:r>
          </w:p>
        </w:tc>
        <w:tc>
          <w:tcPr>
            <w:tcW w:type="dxa" w:w="1928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step-evidencias; middleware/upload.js</w:t>
            </w:r>
          </w:p>
        </w:tc>
        <w:tc>
          <w:tcPr>
            <w:tcW w:type="dxa" w:w="1984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O backend limita quantidade, tamanho e MIME.</w:t>
            </w:r>
          </w:p>
        </w:tc>
      </w:tr>
      <w:tr>
        <w:tc>
          <w:tcPr>
            <w:tcW w:type="dxa" w:w="737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RF-12</w:t>
            </w:r>
          </w:p>
        </w:tc>
        <w:tc>
          <w:tcPr>
            <w:tcW w:type="dxa" w:w="3458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Listar e remover anexos antes do envio, com prévia quando aplicável.</w:t>
            </w:r>
          </w:p>
        </w:tc>
        <w:tc>
          <w:tcPr>
            <w:tcW w:type="dxa" w:w="1247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  <w:shd w:val="clear" w:color="auto" w:fill="E2F0D9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Implementado</w:t>
            </w:r>
          </w:p>
        </w:tc>
        <w:tc>
          <w:tcPr>
            <w:tcW w:type="dxa" w:w="1928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step-evidencias</w:t>
            </w:r>
          </w:p>
        </w:tc>
        <w:tc>
          <w:tcPr>
            <w:tcW w:type="dxa" w:w="1984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Prévia em base64 é criada apenas para imagens.</w:t>
            </w:r>
          </w:p>
        </w:tc>
      </w:tr>
      <w:tr>
        <w:tc>
          <w:tcPr>
            <w:tcW w:type="dxa" w:w="737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RF-13</w:t>
            </w:r>
          </w:p>
        </w:tc>
        <w:tc>
          <w:tcPr>
            <w:tcW w:type="dxa" w:w="3458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Informar se outro órgão já foi procurado.</w:t>
            </w:r>
          </w:p>
        </w:tc>
        <w:tc>
          <w:tcPr>
            <w:tcW w:type="dxa" w:w="1247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  <w:shd w:val="clear" w:color="auto" w:fill="E2F0D9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Implementado</w:t>
            </w:r>
          </w:p>
        </w:tc>
        <w:tc>
          <w:tcPr>
            <w:tcW w:type="dxa" w:w="1928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step-evidencias</w:t>
            </w:r>
          </w:p>
        </w:tc>
        <w:tc>
          <w:tcPr>
            <w:tcW w:type="dxa" w:w="1984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Resposta Sim/Não é opcional.</w:t>
            </w:r>
          </w:p>
        </w:tc>
      </w:tr>
      <w:tr>
        <w:tc>
          <w:tcPr>
            <w:tcW w:type="dxa" w:w="737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RF-14</w:t>
            </w:r>
          </w:p>
        </w:tc>
        <w:tc>
          <w:tcPr>
            <w:tcW w:type="dxa" w:w="3458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Permitir denúncia anônima ou identificada.</w:t>
            </w:r>
          </w:p>
        </w:tc>
        <w:tc>
          <w:tcPr>
            <w:tcW w:type="dxa" w:w="1247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  <w:shd w:val="clear" w:color="auto" w:fill="E2F0D9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Implementado</w:t>
            </w:r>
          </w:p>
        </w:tc>
        <w:tc>
          <w:tcPr>
            <w:tcW w:type="dxa" w:w="1928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step-identificacao</w:t>
            </w:r>
          </w:p>
        </w:tc>
        <w:tc>
          <w:tcPr>
            <w:tcW w:type="dxa" w:w="1984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O modo inicial é anônimo.</w:t>
            </w:r>
          </w:p>
        </w:tc>
      </w:tr>
      <w:tr>
        <w:tc>
          <w:tcPr>
            <w:tcW w:type="dxa" w:w="737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RF-15</w:t>
            </w:r>
          </w:p>
        </w:tc>
        <w:tc>
          <w:tcPr>
            <w:tcW w:type="dxa" w:w="3458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Coletar nome, e-mail e telefone quando a pessoa optar por identificação.</w:t>
            </w:r>
          </w:p>
        </w:tc>
        <w:tc>
          <w:tcPr>
            <w:tcW w:type="dxa" w:w="1247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  <w:shd w:val="clear" w:color="auto" w:fill="FFF2CC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Parcial</w:t>
            </w:r>
          </w:p>
        </w:tc>
        <w:tc>
          <w:tcPr>
            <w:tcW w:type="dxa" w:w="1928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step-identificacao; complaint.service.js</w:t>
            </w:r>
          </w:p>
        </w:tc>
        <w:tc>
          <w:tcPr>
            <w:tcW w:type="dxa" w:w="1984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Campos aparecem, mas não são obrigatórios nem validados.</w:t>
            </w:r>
          </w:p>
        </w:tc>
      </w:tr>
      <w:tr>
        <w:tc>
          <w:tcPr>
            <w:tcW w:type="dxa" w:w="737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RF-16</w:t>
            </w:r>
          </w:p>
        </w:tc>
        <w:tc>
          <w:tcPr>
            <w:tcW w:type="dxa" w:w="3458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Coletar UF e município do fato.</w:t>
            </w:r>
          </w:p>
        </w:tc>
        <w:tc>
          <w:tcPr>
            <w:tcW w:type="dxa" w:w="1247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  <w:shd w:val="clear" w:color="auto" w:fill="E2F0D9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Implementado</w:t>
            </w:r>
          </w:p>
        </w:tc>
        <w:tc>
          <w:tcPr>
            <w:tcW w:type="dxa" w:w="1928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step-local; server/services/complaint.service.js</w:t>
            </w:r>
          </w:p>
        </w:tc>
        <w:tc>
          <w:tcPr>
            <w:tcW w:type="dxa" w:w="1984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São os únicos dados de localização obrigatórios no backend.</w:t>
            </w:r>
          </w:p>
        </w:tc>
      </w:tr>
      <w:tr>
        <w:tc>
          <w:tcPr>
            <w:tcW w:type="dxa" w:w="737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RF-17</w:t>
            </w:r>
          </w:p>
        </w:tc>
        <w:tc>
          <w:tcPr>
            <w:tcW w:type="dxa" w:w="3458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Coletar nome, endereço e CNPJ da empresa denunciada.</w:t>
            </w:r>
          </w:p>
        </w:tc>
        <w:tc>
          <w:tcPr>
            <w:tcW w:type="dxa" w:w="1247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  <w:shd w:val="clear" w:color="auto" w:fill="FFF2CC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Parcial</w:t>
            </w:r>
          </w:p>
        </w:tc>
        <w:tc>
          <w:tcPr>
            <w:tcW w:type="dxa" w:w="1928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step-local</w:t>
            </w:r>
          </w:p>
        </w:tc>
        <w:tc>
          <w:tcPr>
            <w:tcW w:type="dxa" w:w="1984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CNPJ recebe máscara, mas não há validação dos dígitos verificadores.</w:t>
            </w:r>
          </w:p>
        </w:tc>
      </w:tr>
      <w:tr>
        <w:tc>
          <w:tcPr>
            <w:tcW w:type="dxa" w:w="737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RF-18</w:t>
            </w:r>
          </w:p>
        </w:tc>
        <w:tc>
          <w:tcPr>
            <w:tcW w:type="dxa" w:w="3458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Exibir revisão da denúncia e permitir editar cada etapa.</w:t>
            </w:r>
          </w:p>
        </w:tc>
        <w:tc>
          <w:tcPr>
            <w:tcW w:type="dxa" w:w="1247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  <w:shd w:val="clear" w:color="auto" w:fill="FFF2CC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Parcial</w:t>
            </w:r>
          </w:p>
        </w:tc>
        <w:tc>
          <w:tcPr>
            <w:tcW w:type="dxa" w:w="1928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step-revisao</w:t>
            </w:r>
          </w:p>
        </w:tc>
        <w:tc>
          <w:tcPr>
            <w:tcW w:type="dxa" w:w="1984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A revisão omite vários campos, dados de contato, áudio, CNPJ e endereço.</w:t>
            </w:r>
          </w:p>
        </w:tc>
      </w:tr>
      <w:tr>
        <w:tc>
          <w:tcPr>
            <w:tcW w:type="dxa" w:w="737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RF-19</w:t>
            </w:r>
          </w:p>
        </w:tc>
        <w:tc>
          <w:tcPr>
            <w:tcW w:type="dxa" w:w="3458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Serializar denúncia e anexos em multipart e enviar ao BFF.</w:t>
            </w:r>
          </w:p>
        </w:tc>
        <w:tc>
          <w:tcPr>
            <w:tcW w:type="dxa" w:w="1247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  <w:shd w:val="clear" w:color="auto" w:fill="E2F0D9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Implementado</w:t>
            </w:r>
          </w:p>
        </w:tc>
        <w:tc>
          <w:tcPr>
            <w:tcW w:type="dxa" w:w="1928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complaint-api.client.ts</w:t>
            </w:r>
          </w:p>
        </w:tc>
        <w:tc>
          <w:tcPr>
            <w:tcW w:type="dxa" w:w="1984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POST /api/denuncias.</w:t>
            </w:r>
          </w:p>
        </w:tc>
      </w:tr>
      <w:tr>
        <w:tc>
          <w:tcPr>
            <w:tcW w:type="dxa" w:w="737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RF-20</w:t>
            </w:r>
          </w:p>
        </w:tc>
        <w:tc>
          <w:tcPr>
            <w:tcW w:type="dxa" w:w="3458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Validar JSON e conteúdo mínimo antes do encaminhamento.</w:t>
            </w:r>
          </w:p>
        </w:tc>
        <w:tc>
          <w:tcPr>
            <w:tcW w:type="dxa" w:w="1247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  <w:shd w:val="clear" w:color="auto" w:fill="E2F0D9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Implementado</w:t>
            </w:r>
          </w:p>
        </w:tc>
        <w:tc>
          <w:tcPr>
            <w:tcW w:type="dxa" w:w="1928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complaint.controller.js; complaint.service.js</w:t>
            </w:r>
          </w:p>
        </w:tc>
        <w:tc>
          <w:tcPr>
            <w:tcW w:type="dxa" w:w="1984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Exige UF, município e categoria ou relato.</w:t>
            </w:r>
          </w:p>
        </w:tc>
      </w:tr>
      <w:tr>
        <w:tc>
          <w:tcPr>
            <w:tcW w:type="dxa" w:w="737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RF-21</w:t>
            </w:r>
          </w:p>
        </w:tc>
        <w:tc>
          <w:tcPr>
            <w:tcW w:type="dxa" w:w="3458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Restringir anexos por quantidade, tamanho e tipos permitidos.</w:t>
            </w:r>
          </w:p>
        </w:tc>
        <w:tc>
          <w:tcPr>
            <w:tcW w:type="dxa" w:w="1247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  <w:shd w:val="clear" w:color="auto" w:fill="E2F0D9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Implementado</w:t>
            </w:r>
          </w:p>
        </w:tc>
        <w:tc>
          <w:tcPr>
            <w:tcW w:type="dxa" w:w="1928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middleware/upload.js</w:t>
            </w:r>
          </w:p>
        </w:tc>
        <w:tc>
          <w:tcPr>
            <w:tcW w:type="dxa" w:w="1984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Padrão: 10 arquivos, 20 MB por arquivo, 15 MIME types.</w:t>
            </w:r>
          </w:p>
        </w:tc>
      </w:tr>
      <w:tr>
        <w:tc>
          <w:tcPr>
            <w:tcW w:type="dxa" w:w="737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RF-22</w:t>
            </w:r>
          </w:p>
        </w:tc>
        <w:tc>
          <w:tcPr>
            <w:tcW w:type="dxa" w:w="3458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Verificar anexos em scanner antimalware antes do encaminhamento.</w:t>
            </w:r>
          </w:p>
        </w:tc>
        <w:tc>
          <w:tcPr>
            <w:tcW w:type="dxa" w:w="1247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  <w:shd w:val="clear" w:color="auto" w:fill="E2F0D9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Implementado</w:t>
            </w:r>
          </w:p>
        </w:tc>
        <w:tc>
          <w:tcPr>
            <w:tcW w:type="dxa" w:w="1928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clamav.client.js; complaint.controller.js</w:t>
            </w:r>
          </w:p>
        </w:tc>
        <w:tc>
          <w:tcPr>
            <w:tcW w:type="dxa" w:w="1984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Falha fechada; infraestrutura real ainda precisa ser provisionada.</w:t>
            </w:r>
          </w:p>
        </w:tc>
      </w:tr>
      <w:tr>
        <w:tc>
          <w:tcPr>
            <w:tcW w:type="dxa" w:w="737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RF-23</w:t>
            </w:r>
          </w:p>
        </w:tc>
        <w:tc>
          <w:tcPr>
            <w:tcW w:type="dxa" w:w="3458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Encaminhar a denúncia à API interna do MPT sem expor token no navegador.</w:t>
            </w:r>
          </w:p>
        </w:tc>
        <w:tc>
          <w:tcPr>
            <w:tcW w:type="dxa" w:w="1247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  <w:shd w:val="clear" w:color="auto" w:fill="E2F0D9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Implementado</w:t>
            </w:r>
          </w:p>
        </w:tc>
        <w:tc>
          <w:tcPr>
            <w:tcW w:type="dxa" w:w="1928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mpt-api.client.js</w:t>
            </w:r>
          </w:p>
        </w:tc>
        <w:tc>
          <w:tcPr>
            <w:tcW w:type="dxa" w:w="1984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Token opcional fica no BFF; timeout de 30 segundos.</w:t>
            </w:r>
          </w:p>
        </w:tc>
      </w:tr>
      <w:tr>
        <w:tc>
          <w:tcPr>
            <w:tcW w:type="dxa" w:w="737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RF-24</w:t>
            </w:r>
          </w:p>
        </w:tc>
        <w:tc>
          <w:tcPr>
            <w:tcW w:type="dxa" w:w="3458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Gerar protocolo MPT-XXXXXXXX e confirmar somente após aceite da API interna.</w:t>
            </w:r>
          </w:p>
        </w:tc>
        <w:tc>
          <w:tcPr>
            <w:tcW w:type="dxa" w:w="1247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  <w:shd w:val="clear" w:color="auto" w:fill="E2F0D9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Implementado</w:t>
            </w:r>
          </w:p>
        </w:tc>
        <w:tc>
          <w:tcPr>
            <w:tcW w:type="dxa" w:w="1928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complaint.service.js; complaint.controller.js</w:t>
            </w:r>
          </w:p>
        </w:tc>
        <w:tc>
          <w:tcPr>
            <w:tcW w:type="dxa" w:w="1984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Alfabeto reduzido; não confirma falso sucesso.</w:t>
            </w:r>
          </w:p>
        </w:tc>
      </w:tr>
      <w:tr>
        <w:tc>
          <w:tcPr>
            <w:tcW w:type="dxa" w:w="737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RF-25</w:t>
            </w:r>
          </w:p>
        </w:tc>
        <w:tc>
          <w:tcPr>
            <w:tcW w:type="dxa" w:w="3458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Exibir confirmação e protocolo retornado pelo backend.</w:t>
            </w:r>
          </w:p>
        </w:tc>
        <w:tc>
          <w:tcPr>
            <w:tcW w:type="dxa" w:w="1247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  <w:shd w:val="clear" w:color="auto" w:fill="E2F0D9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Implementado</w:t>
            </w:r>
          </w:p>
        </w:tc>
        <w:tc>
          <w:tcPr>
            <w:tcW w:type="dxa" w:w="1928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confirmation; complaint-api.client.ts</w:t>
            </w:r>
          </w:p>
        </w:tc>
        <w:tc>
          <w:tcPr>
            <w:tcW w:type="dxa" w:w="1984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Resposta 201 sem protocolo é tratada como falha.</w:t>
            </w:r>
          </w:p>
        </w:tc>
      </w:tr>
      <w:tr>
        <w:tc>
          <w:tcPr>
            <w:tcW w:type="dxa" w:w="737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RF-26</w:t>
            </w:r>
          </w:p>
        </w:tc>
        <w:tc>
          <w:tcPr>
            <w:tcW w:type="dxa" w:w="3458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Exibir erro de envio, manter a revisão e permitir nova tentativa.</w:t>
            </w:r>
          </w:p>
        </w:tc>
        <w:tc>
          <w:tcPr>
            <w:tcW w:type="dxa" w:w="1247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  <w:shd w:val="clear" w:color="auto" w:fill="E2F0D9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Implementado</w:t>
            </w:r>
          </w:p>
        </w:tc>
        <w:tc>
          <w:tcPr>
            <w:tcW w:type="dxa" w:w="1928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ComplaintService; step-revisao</w:t>
            </w:r>
          </w:p>
        </w:tc>
        <w:tc>
          <w:tcPr>
            <w:tcW w:type="dxa" w:w="1984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Mensagem atual é genérica para todas as falhas.</w:t>
            </w:r>
          </w:p>
        </w:tc>
      </w:tr>
      <w:tr>
        <w:tc>
          <w:tcPr>
            <w:tcW w:type="dxa" w:w="737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RF-27</w:t>
            </w:r>
          </w:p>
        </w:tc>
        <w:tc>
          <w:tcPr>
            <w:tcW w:type="dxa" w:w="3458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Permitir iniciar uma nova denúncia após confirmação.</w:t>
            </w:r>
          </w:p>
        </w:tc>
        <w:tc>
          <w:tcPr>
            <w:tcW w:type="dxa" w:w="1247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  <w:shd w:val="clear" w:color="auto" w:fill="E2F0D9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Implementado</w:t>
            </w:r>
          </w:p>
        </w:tc>
        <w:tc>
          <w:tcPr>
            <w:tcW w:type="dxa" w:w="1928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confirmation; ComplaintService.reset</w:t>
            </w:r>
          </w:p>
        </w:tc>
        <w:tc>
          <w:tcPr>
            <w:tcW w:type="dxa" w:w="1984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Reinicia o estado em memória.</w:t>
            </w:r>
          </w:p>
        </w:tc>
      </w:tr>
      <w:tr>
        <w:tc>
          <w:tcPr>
            <w:tcW w:type="dxa" w:w="737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RF-28</w:t>
            </w:r>
          </w:p>
        </w:tc>
        <w:tc>
          <w:tcPr>
            <w:tcW w:type="dxa" w:w="3458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Disponibilizar informações do endpoint, health check e documentação da API.</w:t>
            </w:r>
          </w:p>
        </w:tc>
        <w:tc>
          <w:tcPr>
            <w:tcW w:type="dxa" w:w="1247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  <w:shd w:val="clear" w:color="auto" w:fill="E2F0D9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Implementado</w:t>
            </w:r>
          </w:p>
        </w:tc>
        <w:tc>
          <w:tcPr>
            <w:tcW w:type="dxa" w:w="1928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complaint.routes.js; index.js</w:t>
            </w:r>
          </w:p>
        </w:tc>
        <w:tc>
          <w:tcPr>
            <w:tcW w:type="dxa" w:w="1984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GET /api/denuncias/info, /health e /api-docs.</w:t>
            </w:r>
          </w:p>
        </w:tc>
      </w:tr>
      <w:tr>
        <w:tc>
          <w:tcPr>
            <w:tcW w:type="dxa" w:w="737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RF-29</w:t>
            </w:r>
          </w:p>
        </w:tc>
        <w:tc>
          <w:tcPr>
            <w:tcW w:type="dxa" w:w="3458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Permitir acompanhamento posterior por protocolo.</w:t>
            </w:r>
          </w:p>
        </w:tc>
        <w:tc>
          <w:tcPr>
            <w:tcW w:type="dxa" w:w="1247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  <w:shd w:val="clear" w:color="auto" w:fill="F4CCCC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Ausente</w:t>
            </w:r>
          </w:p>
        </w:tc>
        <w:tc>
          <w:tcPr>
            <w:tcW w:type="dxa" w:w="1928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Textos de acolhimento/confirmacao</w:t>
            </w:r>
          </w:p>
        </w:tc>
        <w:tc>
          <w:tcPr>
            <w:tcW w:type="dxa" w:w="1984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O protocolo é exibido, mas não existe consulta ou acompanhamento.</w:t>
            </w:r>
          </w:p>
        </w:tc>
      </w:tr>
      <w:tr>
        <w:tc>
          <w:tcPr>
            <w:tcW w:type="dxa" w:w="737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RF-30</w:t>
            </w:r>
          </w:p>
        </w:tc>
        <w:tc>
          <w:tcPr>
            <w:tcW w:type="dxa" w:w="3458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Executar uma ação de acessibilidade pelo botão do cabeçalho.</w:t>
            </w:r>
          </w:p>
        </w:tc>
        <w:tc>
          <w:tcPr>
            <w:tcW w:type="dxa" w:w="1247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  <w:shd w:val="clear" w:color="auto" w:fill="FCE4D6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Somente visual</w:t>
            </w:r>
          </w:p>
        </w:tc>
        <w:tc>
          <w:tcPr>
            <w:tcW w:type="dxa" w:w="1928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app.html#btn-accessibility</w:t>
            </w:r>
          </w:p>
        </w:tc>
        <w:tc>
          <w:tcPr>
            <w:tcW w:type="dxa" w:w="1984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Botão possui rótulo, mas não possui ação.</w:t>
            </w:r>
          </w:p>
        </w:tc>
      </w:tr>
    </w:tbl>
    <w:p>
      <w:r>
        <w:br w:type="page"/>
      </w:r>
    </w:p>
    <w:p>
      <w:pPr>
        <w:spacing w:after="120" w:before="240"/>
        <w:jc w:val="left"/>
        <w:pBdr>
          <w:bottom w:val="single" w:sz="8" w:space="1" w:color="17335C"/>
        </w:pBdr>
      </w:pPr>
      <w:r>
        <w:rPr>
          <w:rFonts w:ascii="Calibri" w:hAnsi="Calibri"/>
          <w:b/>
          <w:color w:val="17335C"/>
          <w:sz w:val="40"/>
        </w:rPr>
        <w:t>3. Requisitos não funcionais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rPr>
          <w:tblHeader w:val="true"/>
        </w:trPr>
        <w:tc>
          <w:tcPr>
            <w:tcW w:type="dxa" w:w="794"/>
            <w:vAlign w:val="center"/>
            <w:shd w:val="clear" w:color="auto" w:fill="17335C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3402"/>
            <w:vAlign w:val="center"/>
            <w:shd w:val="clear" w:color="auto" w:fill="17335C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Requisito</w:t>
            </w:r>
          </w:p>
        </w:tc>
        <w:tc>
          <w:tcPr>
            <w:tcW w:type="dxa" w:w="1247"/>
            <w:vAlign w:val="center"/>
            <w:shd w:val="clear" w:color="auto" w:fill="17335C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Situação</w:t>
            </w:r>
          </w:p>
        </w:tc>
        <w:tc>
          <w:tcPr>
            <w:tcW w:type="dxa" w:w="1871"/>
            <w:vAlign w:val="center"/>
            <w:shd w:val="clear" w:color="auto" w:fill="17335C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Evidência</w:t>
            </w:r>
          </w:p>
        </w:tc>
        <w:tc>
          <w:tcPr>
            <w:tcW w:type="dxa" w:w="2041"/>
            <w:vAlign w:val="center"/>
            <w:shd w:val="clear" w:color="auto" w:fill="17335C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Observação</w:t>
            </w:r>
          </w:p>
        </w:tc>
      </w:tr>
      <w:tr>
        <w:tc>
          <w:tcPr>
            <w:tcW w:type="dxa" w:w="794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RNF-01</w:t>
            </w:r>
          </w:p>
        </w:tc>
        <w:tc>
          <w:tcPr>
            <w:tcW w:type="dxa" w:w="3402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Arquitetura separada em SPA Angular e BFF Express.</w:t>
            </w:r>
          </w:p>
        </w:tc>
        <w:tc>
          <w:tcPr>
            <w:tcW w:type="dxa" w:w="1247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  <w:shd w:val="clear" w:color="auto" w:fill="E2F0D9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Atendido</w:t>
            </w:r>
          </w:p>
        </w:tc>
        <w:tc>
          <w:tcPr>
            <w:tcW w:type="dxa" w:w="1871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src/; server/</w:t>
            </w:r>
          </w:p>
        </w:tc>
        <w:tc>
          <w:tcPr>
            <w:tcW w:type="dxa" w:w="2041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Integrações e token permanecem no BFF.</w:t>
            </w:r>
          </w:p>
        </w:tc>
      </w:tr>
      <w:tr>
        <w:tc>
          <w:tcPr>
            <w:tcW w:type="dxa" w:w="794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RNF-02</w:t>
            </w:r>
          </w:p>
        </w:tc>
        <w:tc>
          <w:tcPr>
            <w:tcW w:type="dxa" w:w="3402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Ambiente reproduzível com Node 22.22.3 e npm 11.11.0 via Volta.</w:t>
            </w:r>
          </w:p>
        </w:tc>
        <w:tc>
          <w:tcPr>
            <w:tcW w:type="dxa" w:w="1247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  <w:shd w:val="clear" w:color="auto" w:fill="E2F0D9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Atendido</w:t>
            </w:r>
          </w:p>
        </w:tc>
        <w:tc>
          <w:tcPr>
            <w:tcW w:type="dxa" w:w="1871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package.json</w:t>
            </w:r>
          </w:p>
        </w:tc>
        <w:tc>
          <w:tcPr>
            <w:tcW w:type="dxa" w:w="2041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Frontend e backend possuem lockfiles independentes.</w:t>
            </w:r>
          </w:p>
        </w:tc>
      </w:tr>
      <w:tr>
        <w:tc>
          <w:tcPr>
            <w:tcW w:type="dxa" w:w="794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RNF-03</w:t>
            </w:r>
          </w:p>
        </w:tc>
        <w:tc>
          <w:tcPr>
            <w:tcW w:type="dxa" w:w="3402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Interface mobile-first e responsiva.</w:t>
            </w:r>
          </w:p>
        </w:tc>
        <w:tc>
          <w:tcPr>
            <w:tcW w:type="dxa" w:w="1247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  <w:shd w:val="clear" w:color="auto" w:fill="E2F0D9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Atendido</w:t>
            </w:r>
          </w:p>
        </w:tc>
        <w:tc>
          <w:tcPr>
            <w:tcW w:type="dxa" w:w="1871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spec_design.md; styles.css</w:t>
            </w:r>
          </w:p>
        </w:tc>
        <w:tc>
          <w:tcPr>
            <w:tcW w:type="dxa" w:w="2041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Há projeto Playwright Pixel 7 e desktop.</w:t>
            </w:r>
          </w:p>
        </w:tc>
      </w:tr>
      <w:tr>
        <w:tc>
          <w:tcPr>
            <w:tcW w:type="dxa" w:w="794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RNF-04</w:t>
            </w:r>
          </w:p>
        </w:tc>
        <w:tc>
          <w:tcPr>
            <w:tcW w:type="dxa" w:w="3402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Acessibilidade WCAG 2.1 A/AA sem violações sérias/críticas automatizadas.</w:t>
            </w:r>
          </w:p>
        </w:tc>
        <w:tc>
          <w:tcPr>
            <w:tcW w:type="dxa" w:w="1247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  <w:shd w:val="clear" w:color="auto" w:fill="FFF2CC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Parcial</w:t>
            </w:r>
          </w:p>
        </w:tc>
        <w:tc>
          <w:tcPr>
            <w:tcW w:type="dxa" w:w="1871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axe-core; e2e</w:t>
            </w:r>
          </w:p>
        </w:tc>
        <w:tc>
          <w:tcPr>
            <w:tcW w:type="dxa" w:w="2041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Automação aprovada; avaliação manual e eMAG não estão evidenciados.</w:t>
            </w:r>
          </w:p>
        </w:tc>
      </w:tr>
      <w:tr>
        <w:tc>
          <w:tcPr>
            <w:tcW w:type="dxa" w:w="794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RNF-05</w:t>
            </w:r>
          </w:p>
        </w:tc>
        <w:tc>
          <w:tcPr>
            <w:tcW w:type="dxa" w:w="3402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Compatibilidade com Chromium, Firefox e Safari.</w:t>
            </w:r>
          </w:p>
        </w:tc>
        <w:tc>
          <w:tcPr>
            <w:tcW w:type="dxa" w:w="1247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  <w:shd w:val="clear" w:color="auto" w:fill="FFF2CC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Parcial</w:t>
            </w:r>
          </w:p>
        </w:tc>
        <w:tc>
          <w:tcPr>
            <w:tcW w:type="dxa" w:w="1871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playwright.config.ts</w:t>
            </w:r>
          </w:p>
        </w:tc>
        <w:tc>
          <w:tcPr>
            <w:tcW w:type="dxa" w:w="2041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WebKit é coberto; Safari real em macOS/iPhone não foi homologado.</w:t>
            </w:r>
          </w:p>
        </w:tc>
      </w:tr>
      <w:tr>
        <w:tc>
          <w:tcPr>
            <w:tcW w:type="dxa" w:w="794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RNF-06</w:t>
            </w:r>
          </w:p>
        </w:tc>
        <w:tc>
          <w:tcPr>
            <w:tcW w:type="dxa" w:w="3402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Bundle inicial abaixo de 500 kB bruto e 120 kB transferido.</w:t>
            </w:r>
          </w:p>
        </w:tc>
        <w:tc>
          <w:tcPr>
            <w:tcW w:type="dxa" w:w="1247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  <w:shd w:val="clear" w:color="auto" w:fill="E2F0D9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Atendido</w:t>
            </w:r>
          </w:p>
        </w:tc>
        <w:tc>
          <w:tcPr>
            <w:tcW w:type="dxa" w:w="1871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angular.json; relatório de testes</w:t>
            </w:r>
          </w:p>
        </w:tc>
        <w:tc>
          <w:tcPr>
            <w:tcW w:type="dxa" w:w="2041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Última evidência: 384,38 kB / 85,26 kB.</w:t>
            </w:r>
          </w:p>
        </w:tc>
      </w:tr>
      <w:tr>
        <w:tc>
          <w:tcPr>
            <w:tcW w:type="dxa" w:w="794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RNF-07</w:t>
            </w:r>
          </w:p>
        </w:tc>
        <w:tc>
          <w:tcPr>
            <w:tcW w:type="dxa" w:w="3402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CORS restrito e cabeçalhos de segurança.</w:t>
            </w:r>
          </w:p>
        </w:tc>
        <w:tc>
          <w:tcPr>
            <w:tcW w:type="dxa" w:w="1247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  <w:shd w:val="clear" w:color="auto" w:fill="E2F0D9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Atendido</w:t>
            </w:r>
          </w:p>
        </w:tc>
        <w:tc>
          <w:tcPr>
            <w:tcW w:type="dxa" w:w="1871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server/index.js</w:t>
            </w:r>
          </w:p>
        </w:tc>
        <w:tc>
          <w:tcPr>
            <w:tcW w:type="dxa" w:w="2041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Helmet ativo e FRONTEND_URL exclusiva em produção.</w:t>
            </w:r>
          </w:p>
        </w:tc>
      </w:tr>
      <w:tr>
        <w:tc>
          <w:tcPr>
            <w:tcW w:type="dxa" w:w="794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RNF-08</w:t>
            </w:r>
          </w:p>
        </w:tc>
        <w:tc>
          <w:tcPr>
            <w:tcW w:type="dxa" w:w="3402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Segredos e detalhes da API interna restritos ao backend.</w:t>
            </w:r>
          </w:p>
        </w:tc>
        <w:tc>
          <w:tcPr>
            <w:tcW w:type="dxa" w:w="1247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  <w:shd w:val="clear" w:color="auto" w:fill="E2F0D9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Atendido</w:t>
            </w:r>
          </w:p>
        </w:tc>
        <w:tc>
          <w:tcPr>
            <w:tcW w:type="dxa" w:w="1871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mpt-api.client.js; env.template</w:t>
            </w:r>
          </w:p>
        </w:tc>
        <w:tc>
          <w:tcPr>
            <w:tcW w:type="dxa" w:w="2041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MPT_API_TOKEN não é enviado ao frontend.</w:t>
            </w:r>
          </w:p>
        </w:tc>
      </w:tr>
      <w:tr>
        <w:tc>
          <w:tcPr>
            <w:tcW w:type="dxa" w:w="794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RNF-09</w:t>
            </w:r>
          </w:p>
        </w:tc>
        <w:tc>
          <w:tcPr>
            <w:tcW w:type="dxa" w:w="3402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Limite de submissões consistente entre três réplicas.</w:t>
            </w:r>
          </w:p>
        </w:tc>
        <w:tc>
          <w:tcPr>
            <w:tcW w:type="dxa" w:w="1247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  <w:shd w:val="clear" w:color="auto" w:fill="FFF2CC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Parcial</w:t>
            </w:r>
          </w:p>
        </w:tc>
        <w:tc>
          <w:tcPr>
            <w:tcW w:type="dxa" w:w="1871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express-rate-limit; Redis store</w:t>
            </w:r>
          </w:p>
        </w:tc>
        <w:tc>
          <w:tcPr>
            <w:tcW w:type="dxa" w:w="2041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Código preparado; Redis real ainda não homologado.</w:t>
            </w:r>
          </w:p>
        </w:tc>
      </w:tr>
      <w:tr>
        <w:tc>
          <w:tcPr>
            <w:tcW w:type="dxa" w:w="794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RNF-10</w:t>
            </w:r>
          </w:p>
        </w:tc>
        <w:tc>
          <w:tcPr>
            <w:tcW w:type="dxa" w:w="3402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Antimalware obrigatório e fail closed.</w:t>
            </w:r>
          </w:p>
        </w:tc>
        <w:tc>
          <w:tcPr>
            <w:tcW w:type="dxa" w:w="1247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  <w:shd w:val="clear" w:color="auto" w:fill="FFF2CC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Parcial</w:t>
            </w:r>
          </w:p>
        </w:tc>
        <w:tc>
          <w:tcPr>
            <w:tcW w:type="dxa" w:w="1871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clamav.client.js</w:t>
            </w:r>
          </w:p>
        </w:tc>
        <w:tc>
          <w:tcPr>
            <w:tcW w:type="dxa" w:w="2041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Código e simulador aprovados; ClamAV real ainda não homologado.</w:t>
            </w:r>
          </w:p>
        </w:tc>
      </w:tr>
      <w:tr>
        <w:tc>
          <w:tcPr>
            <w:tcW w:type="dxa" w:w="794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RNF-11</w:t>
            </w:r>
          </w:p>
        </w:tc>
        <w:tc>
          <w:tcPr>
            <w:tcW w:type="dxa" w:w="3402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Anexos fora da memória, com nomes aleatórios e limpeza após requisição.</w:t>
            </w:r>
          </w:p>
        </w:tc>
        <w:tc>
          <w:tcPr>
            <w:tcW w:type="dxa" w:w="1247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  <w:shd w:val="clear" w:color="auto" w:fill="E2F0D9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Atendido</w:t>
            </w:r>
          </w:p>
        </w:tc>
        <w:tc>
          <w:tcPr>
            <w:tcW w:type="dxa" w:w="1871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middleware/upload.js</w:t>
            </w:r>
          </w:p>
        </w:tc>
        <w:tc>
          <w:tcPr>
            <w:tcW w:type="dxa" w:w="2041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Não há rotina de limpeza de órfãos após queda abrupta do processo.</w:t>
            </w:r>
          </w:p>
        </w:tc>
      </w:tr>
      <w:tr>
        <w:tc>
          <w:tcPr>
            <w:tcW w:type="dxa" w:w="794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RNF-12</w:t>
            </w:r>
          </w:p>
        </w:tc>
        <w:tc>
          <w:tcPr>
            <w:tcW w:type="dxa" w:w="3402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Limites de upload configuráveis e seguros.</w:t>
            </w:r>
          </w:p>
        </w:tc>
        <w:tc>
          <w:tcPr>
            <w:tcW w:type="dxa" w:w="1247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  <w:shd w:val="clear" w:color="auto" w:fill="E2F0D9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Atendido</w:t>
            </w:r>
          </w:p>
        </w:tc>
        <w:tc>
          <w:tcPr>
            <w:tcW w:type="dxa" w:w="1871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MAX_FILE_SIZE; MAX_FILES</w:t>
            </w:r>
          </w:p>
        </w:tc>
        <w:tc>
          <w:tcPr>
            <w:tcW w:type="dxa" w:w="2041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Padrão: 10 × 20 MB; limite total não está formalizado.</w:t>
            </w:r>
          </w:p>
        </w:tc>
      </w:tr>
      <w:tr>
        <w:tc>
          <w:tcPr>
            <w:tcW w:type="dxa" w:w="794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RNF-13</w:t>
            </w:r>
          </w:p>
        </w:tc>
        <w:tc>
          <w:tcPr>
            <w:tcW w:type="dxa" w:w="3402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Validar assinatura real do arquivo, não apenas MIME informado.</w:t>
            </w:r>
          </w:p>
        </w:tc>
        <w:tc>
          <w:tcPr>
            <w:tcW w:type="dxa" w:w="1247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  <w:shd w:val="clear" w:color="auto" w:fill="F4CCCC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Não atendido</w:t>
            </w:r>
          </w:p>
        </w:tc>
        <w:tc>
          <w:tcPr>
            <w:tcW w:type="dxa" w:w="1871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middleware/upload.js</w:t>
            </w:r>
          </w:p>
        </w:tc>
        <w:tc>
          <w:tcPr>
            <w:tcW w:type="dxa" w:w="2041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O filtro confia no Content-Type fornecido pelo cliente.</w:t>
            </w:r>
          </w:p>
        </w:tc>
      </w:tr>
      <w:tr>
        <w:tc>
          <w:tcPr>
            <w:tcW w:type="dxa" w:w="794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RNF-14</w:t>
            </w:r>
          </w:p>
        </w:tc>
        <w:tc>
          <w:tcPr>
            <w:tcW w:type="dxa" w:w="3402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Separar liveness e readiness das dependências externas.</w:t>
            </w:r>
          </w:p>
        </w:tc>
        <w:tc>
          <w:tcPr>
            <w:tcW w:type="dxa" w:w="1247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  <w:shd w:val="clear" w:color="auto" w:fill="F4CCCC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Não atendido</w:t>
            </w:r>
          </w:p>
        </w:tc>
        <w:tc>
          <w:tcPr>
            <w:tcW w:type="dxa" w:w="1871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GET /health</w:t>
            </w:r>
          </w:p>
        </w:tc>
        <w:tc>
          <w:tcPr>
            <w:tcW w:type="dxa" w:w="2041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Health sempre responde ok; não verifica Redis nem ClamAV.</w:t>
            </w:r>
          </w:p>
        </w:tc>
      </w:tr>
      <w:tr>
        <w:tc>
          <w:tcPr>
            <w:tcW w:type="dxa" w:w="794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RNF-15</w:t>
            </w:r>
          </w:p>
        </w:tc>
        <w:tc>
          <w:tcPr>
            <w:tcW w:type="dxa" w:w="3402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Nunca apresentar sucesso quando a entrega não for confirmada.</w:t>
            </w:r>
          </w:p>
        </w:tc>
        <w:tc>
          <w:tcPr>
            <w:tcW w:type="dxa" w:w="1247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  <w:shd w:val="clear" w:color="auto" w:fill="E2F0D9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Atendido</w:t>
            </w:r>
          </w:p>
        </w:tc>
        <w:tc>
          <w:tcPr>
            <w:tcW w:type="dxa" w:w="1871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controller; ComplaintApiClient</w:t>
            </w:r>
          </w:p>
        </w:tc>
        <w:tc>
          <w:tcPr>
            <w:tcW w:type="dxa" w:w="2041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201 só após aceite e protocolo válido.</w:t>
            </w:r>
          </w:p>
        </w:tc>
      </w:tr>
      <w:tr>
        <w:tc>
          <w:tcPr>
            <w:tcW w:type="dxa" w:w="794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RNF-16</w:t>
            </w:r>
          </w:p>
        </w:tc>
        <w:tc>
          <w:tcPr>
            <w:tcW w:type="dxa" w:w="3402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Não registrar conteúdo sensível da denúncia nos logs.</w:t>
            </w:r>
          </w:p>
        </w:tc>
        <w:tc>
          <w:tcPr>
            <w:tcW w:type="dxa" w:w="1247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  <w:shd w:val="clear" w:color="auto" w:fill="FFF2CC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Parcial</w:t>
            </w:r>
          </w:p>
        </w:tc>
        <w:tc>
          <w:tcPr>
            <w:tcW w:type="dxa" w:w="1871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controller; morgan</w:t>
            </w:r>
          </w:p>
        </w:tc>
        <w:tc>
          <w:tcPr>
            <w:tcW w:type="dxa" w:w="2041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Payload não é logado; formato combined registra IP e metadados HTTP.</w:t>
            </w:r>
          </w:p>
        </w:tc>
      </w:tr>
      <w:tr>
        <w:tc>
          <w:tcPr>
            <w:tcW w:type="dxa" w:w="794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RNF-17</w:t>
            </w:r>
          </w:p>
        </w:tc>
        <w:tc>
          <w:tcPr>
            <w:tcW w:type="dxa" w:w="3402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Reter logs por 10 dias.</w:t>
            </w:r>
          </w:p>
        </w:tc>
        <w:tc>
          <w:tcPr>
            <w:tcW w:type="dxa" w:w="1247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  <w:shd w:val="clear" w:color="auto" w:fill="F4CCCC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Não atendido no código</w:t>
            </w:r>
          </w:p>
        </w:tc>
        <w:tc>
          <w:tcPr>
            <w:tcW w:type="dxa" w:w="1871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Requisito operacional informado</w:t>
            </w:r>
          </w:p>
        </w:tc>
        <w:tc>
          <w:tcPr>
            <w:tcW w:type="dxa" w:w="2041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Depende da plataforma de logs; não há configuração de implantação.</w:t>
            </w:r>
          </w:p>
        </w:tc>
      </w:tr>
      <w:tr>
        <w:tc>
          <w:tcPr>
            <w:tcW w:type="dxa" w:w="794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RNF-18</w:t>
            </w:r>
          </w:p>
        </w:tc>
        <w:tc>
          <w:tcPr>
            <w:tcW w:type="dxa" w:w="3402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Disponibilidade de 99,5%.</w:t>
            </w:r>
          </w:p>
        </w:tc>
        <w:tc>
          <w:tcPr>
            <w:tcW w:type="dxa" w:w="1247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  <w:shd w:val="clear" w:color="auto" w:fill="F4CCCC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Não formalizado</w:t>
            </w:r>
          </w:p>
        </w:tc>
        <w:tc>
          <w:tcPr>
            <w:tcW w:type="dxa" w:w="1871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Requisito operacional informado</w:t>
            </w:r>
          </w:p>
        </w:tc>
        <w:tc>
          <w:tcPr>
            <w:tcW w:type="dxa" w:w="2041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Sem SLI, janela, orçamento de erro ou alertas definidos.</w:t>
            </w:r>
          </w:p>
        </w:tc>
      </w:tr>
      <w:tr>
        <w:tc>
          <w:tcPr>
            <w:tcW w:type="dxa" w:w="794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RNF-19</w:t>
            </w:r>
          </w:p>
        </w:tc>
        <w:tc>
          <w:tcPr>
            <w:tcW w:type="dxa" w:w="3402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Suportar 100 denúncias/h, 500 usuários, 100 uploads simultâneos e 3 réplicas.</w:t>
            </w:r>
          </w:p>
        </w:tc>
        <w:tc>
          <w:tcPr>
            <w:tcW w:type="dxa" w:w="1247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  <w:shd w:val="clear" w:color="auto" w:fill="F4CCCC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Não comprovado</w:t>
            </w:r>
          </w:p>
        </w:tc>
        <w:tc>
          <w:tcPr>
            <w:tcW w:type="dxa" w:w="1871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Requisito operacional informado</w:t>
            </w:r>
          </w:p>
        </w:tc>
        <w:tc>
          <w:tcPr>
            <w:tcW w:type="dxa" w:w="2041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Não há teste de carga com Redis/ClamAV/API reais.</w:t>
            </w:r>
          </w:p>
        </w:tc>
      </w:tr>
      <w:tr>
        <w:tc>
          <w:tcPr>
            <w:tcW w:type="dxa" w:w="794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RNF-20</w:t>
            </w:r>
          </w:p>
        </w:tc>
        <w:tc>
          <w:tcPr>
            <w:tcW w:type="dxa" w:w="3402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Aplicar timeouts e cancelamento em integrações.</w:t>
            </w:r>
          </w:p>
        </w:tc>
        <w:tc>
          <w:tcPr>
            <w:tcW w:type="dxa" w:w="1247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  <w:shd w:val="clear" w:color="auto" w:fill="FFF2CC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Parcial</w:t>
            </w:r>
          </w:p>
        </w:tc>
        <w:tc>
          <w:tcPr>
            <w:tcW w:type="dxa" w:w="1871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MPT 30s; ClamAV 30s</w:t>
            </w:r>
          </w:p>
        </w:tc>
        <w:tc>
          <w:tcPr>
            <w:tcW w:type="dxa" w:w="2041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Fetch frontend não possui timeout/AbortController.</w:t>
            </w:r>
          </w:p>
        </w:tc>
      </w:tr>
      <w:tr>
        <w:tc>
          <w:tcPr>
            <w:tcW w:type="dxa" w:w="794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RNF-21</w:t>
            </w:r>
          </w:p>
        </w:tc>
        <w:tc>
          <w:tcPr>
            <w:tcW w:type="dxa" w:w="3402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Observabilidade com correlação, métricas e alertas.</w:t>
            </w:r>
          </w:p>
        </w:tc>
        <w:tc>
          <w:tcPr>
            <w:tcW w:type="dxa" w:w="1247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  <w:shd w:val="clear" w:color="auto" w:fill="F4CCCC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Não atendido</w:t>
            </w:r>
          </w:p>
        </w:tc>
        <w:tc>
          <w:tcPr>
            <w:tcW w:type="dxa" w:w="1871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server/index.js</w:t>
            </w:r>
          </w:p>
        </w:tc>
        <w:tc>
          <w:tcPr>
            <w:tcW w:type="dxa" w:w="2041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Há logs textuais, mas não correlation ID, métricas ou tracing.</w:t>
            </w:r>
          </w:p>
        </w:tc>
      </w:tr>
      <w:tr>
        <w:tc>
          <w:tcPr>
            <w:tcW w:type="dxa" w:w="794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RNF-22</w:t>
            </w:r>
          </w:p>
        </w:tc>
        <w:tc>
          <w:tcPr>
            <w:tcW w:type="dxa" w:w="3402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Evitar duplicidade em retentativas.</w:t>
            </w:r>
          </w:p>
        </w:tc>
        <w:tc>
          <w:tcPr>
            <w:tcW w:type="dxa" w:w="1247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  <w:shd w:val="clear" w:color="auto" w:fill="F4CCCC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Não atendido</w:t>
            </w:r>
          </w:p>
        </w:tc>
        <w:tc>
          <w:tcPr>
            <w:tcW w:type="dxa" w:w="1871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Fluxo de envio</w:t>
            </w:r>
          </w:p>
        </w:tc>
        <w:tc>
          <w:tcPr>
            <w:tcW w:type="dxa" w:w="2041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Não há Idempotency-Key nem regra acordada com a API MPT.</w:t>
            </w:r>
          </w:p>
        </w:tc>
      </w:tr>
      <w:tr>
        <w:tc>
          <w:tcPr>
            <w:tcW w:type="dxa" w:w="794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RNF-23</w:t>
            </w:r>
          </w:p>
        </w:tc>
        <w:tc>
          <w:tcPr>
            <w:tcW w:type="dxa" w:w="3402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Qualidade automatizada e regressão multi-browser.</w:t>
            </w:r>
          </w:p>
        </w:tc>
        <w:tc>
          <w:tcPr>
            <w:tcW w:type="dxa" w:w="1247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  <w:shd w:val="clear" w:color="auto" w:fill="E2F0D9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Atendido</w:t>
            </w:r>
          </w:p>
        </w:tc>
        <w:tc>
          <w:tcPr>
            <w:tcW w:type="dxa" w:w="1871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Vitest; Supertest; Playwright; ESLint</w:t>
            </w:r>
          </w:p>
        </w:tc>
        <w:tc>
          <w:tcPr>
            <w:tcW w:type="dxa" w:w="2041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Evidência: 30 backend, 8 frontend e 16 E2E aprovados.</w:t>
            </w:r>
          </w:p>
        </w:tc>
      </w:tr>
      <w:tr>
        <w:tc>
          <w:tcPr>
            <w:tcW w:type="dxa" w:w="794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RNF-24</w:t>
            </w:r>
          </w:p>
        </w:tc>
        <w:tc>
          <w:tcPr>
            <w:tcW w:type="dxa" w:w="3402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Dependências de produção sem vulnerabilidades conhecidas na auditoria.</w:t>
            </w:r>
          </w:p>
        </w:tc>
        <w:tc>
          <w:tcPr>
            <w:tcW w:type="dxa" w:w="1247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  <w:shd w:val="clear" w:color="auto" w:fill="E2F0D9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Atendido</w:t>
            </w:r>
          </w:p>
        </w:tc>
        <w:tc>
          <w:tcPr>
            <w:tcW w:type="dxa" w:w="1871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npm audit --omit=dev</w:t>
            </w:r>
          </w:p>
        </w:tc>
        <w:tc>
          <w:tcPr>
            <w:tcW w:type="dxa" w:w="2041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Evidência local de 24/07/2026: zero em frontend e backend.</w:t>
            </w:r>
          </w:p>
        </w:tc>
      </w:tr>
      <w:tr>
        <w:tc>
          <w:tcPr>
            <w:tcW w:type="dxa" w:w="794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RNF-25</w:t>
            </w:r>
          </w:p>
        </w:tc>
        <w:tc>
          <w:tcPr>
            <w:tcW w:type="dxa" w:w="3402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Pipeline de entrega com gates completos.</w:t>
            </w:r>
          </w:p>
        </w:tc>
        <w:tc>
          <w:tcPr>
            <w:tcW w:type="dxa" w:w="1247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  <w:shd w:val="clear" w:color="auto" w:fill="FFF2CC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Parcial</w:t>
            </w:r>
          </w:p>
        </w:tc>
        <w:tc>
          <w:tcPr>
            <w:tcW w:type="dxa" w:w="1871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.github/workflows/npm-audit.yml</w:t>
            </w:r>
          </w:p>
        </w:tc>
        <w:tc>
          <w:tcPr>
            <w:tcW w:type="dxa" w:w="2041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Há gate de auditoria; pipeline integral não está documentado.</w:t>
            </w:r>
          </w:p>
        </w:tc>
      </w:tr>
      <w:tr>
        <w:tc>
          <w:tcPr>
            <w:tcW w:type="dxa" w:w="794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RNF-26</w:t>
            </w:r>
          </w:p>
        </w:tc>
        <w:tc>
          <w:tcPr>
            <w:tcW w:type="dxa" w:w="3402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Privacidade/LGPD com base legal, transparência, retenção e direitos definidos.</w:t>
            </w:r>
          </w:p>
        </w:tc>
        <w:tc>
          <w:tcPr>
            <w:tcW w:type="dxa" w:w="1247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  <w:shd w:val="clear" w:color="auto" w:fill="F4CCCC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Não formalizado</w:t>
            </w:r>
          </w:p>
        </w:tc>
        <w:tc>
          <w:tcPr>
            <w:tcW w:type="dxa" w:w="1871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UI; documentação</w:t>
            </w:r>
          </w:p>
        </w:tc>
        <w:tc>
          <w:tcPr>
            <w:tcW w:type="dxa" w:w="2041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Há promessas de sigilo, mas não política/termos/base legal no codebase.</w:t>
            </w:r>
          </w:p>
        </w:tc>
      </w:tr>
      <w:tr>
        <w:tc>
          <w:tcPr>
            <w:tcW w:type="dxa" w:w="794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RNF-27</w:t>
            </w:r>
          </w:p>
        </w:tc>
        <w:tc>
          <w:tcPr>
            <w:tcW w:type="dxa" w:w="3402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Implantação reproduzível e reversível.</w:t>
            </w:r>
          </w:p>
        </w:tc>
        <w:tc>
          <w:tcPr>
            <w:tcW w:type="dxa" w:w="1247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  <w:shd w:val="clear" w:color="auto" w:fill="F4CCCC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Não atendido</w:t>
            </w:r>
          </w:p>
        </w:tc>
        <w:tc>
          <w:tcPr>
            <w:tcW w:type="dxa" w:w="1871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Repositório</w:t>
            </w:r>
          </w:p>
        </w:tc>
        <w:tc>
          <w:tcPr>
            <w:tcW w:type="dxa" w:w="2041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Não existem Dockerfile, IaC, manifests ou definição da plataforma.</w:t>
            </w:r>
          </w:p>
        </w:tc>
      </w:tr>
    </w:tbl>
    <w:p>
      <w:pPr>
        <w:spacing w:after="120" w:before="240"/>
        <w:jc w:val="left"/>
        <w:pBdr>
          <w:bottom w:val="single" w:sz="8" w:space="1" w:color="17335C"/>
        </w:pBdr>
      </w:pPr>
      <w:r>
        <w:rPr>
          <w:rFonts w:ascii="Calibri" w:hAnsi="Calibri"/>
          <w:b/>
          <w:color w:val="17335C"/>
          <w:sz w:val="40"/>
        </w:rPr>
        <w:t>4. Regras de negócio observadas</w:t>
      </w:r>
    </w:p>
    <w:p>
      <w:pPr>
        <w:spacing w:after="120" w:before="0"/>
        <w:jc w:val="left"/>
      </w:pPr>
      <w:r>
        <w:rPr>
          <w:rFonts w:ascii="Calibri" w:hAnsi="Calibri"/>
          <w:b w:val="0"/>
          <w:color w:val="5A5A5A"/>
          <w:sz w:val="22"/>
        </w:rPr>
        <w:t>As regras abaixo descrevem o comportamento atual. Elas precisam ser confirmadas; não devem ser interpretadas automaticamente como regras aprovadas pelo negócio.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850"/>
            <w:vAlign w:val="center"/>
            <w:shd w:val="clear" w:color="auto" w:fill="17335C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5953"/>
            <w:vAlign w:val="center"/>
            <w:shd w:val="clear" w:color="auto" w:fill="17335C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Regra observada</w:t>
            </w:r>
          </w:p>
        </w:tc>
        <w:tc>
          <w:tcPr>
            <w:tcW w:type="dxa" w:w="2551"/>
            <w:vAlign w:val="center"/>
            <w:shd w:val="clear" w:color="auto" w:fill="17335C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Evidência</w:t>
            </w:r>
          </w:p>
        </w:tc>
      </w:tr>
      <w:tr>
        <w:tc>
          <w:tcPr>
            <w:tcW w:type="dxa" w:w="850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RN-01</w:t>
            </w:r>
          </w:p>
        </w:tc>
        <w:tc>
          <w:tcPr>
            <w:tcW w:type="dxa" w:w="5953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A denúncia inicia como anônima.</w:t>
            </w:r>
          </w:p>
        </w:tc>
        <w:tc>
          <w:tcPr>
            <w:tcW w:type="dxa" w:w="2551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ComplaintService.initialComplaint</w:t>
            </w:r>
          </w:p>
        </w:tc>
      </w:tr>
      <w:tr>
        <w:tc>
          <w:tcPr>
            <w:tcW w:type="dxa" w:w="850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RN-02</w:t>
            </w:r>
          </w:p>
        </w:tc>
        <w:tc>
          <w:tcPr>
            <w:tcW w:type="dxa" w:w="5953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UF e município são obrigatórios no envio.</w:t>
            </w:r>
          </w:p>
        </w:tc>
        <w:tc>
          <w:tcPr>
            <w:tcW w:type="dxa" w:w="2551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validateComplaint</w:t>
            </w:r>
          </w:p>
        </w:tc>
      </w:tr>
      <w:tr>
        <w:tc>
          <w:tcPr>
            <w:tcW w:type="dxa" w:w="850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RN-03</w:t>
            </w:r>
          </w:p>
        </w:tc>
        <w:tc>
          <w:tcPr>
            <w:tcW w:type="dxa" w:w="5953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É obrigatório informar ao menos uma irregularidade ou relato textual.</w:t>
            </w:r>
          </w:p>
        </w:tc>
        <w:tc>
          <w:tcPr>
            <w:tcW w:type="dxa" w:w="2551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validateComplaint</w:t>
            </w:r>
          </w:p>
        </w:tc>
      </w:tr>
      <w:tr>
        <w:tc>
          <w:tcPr>
            <w:tcW w:type="dxa" w:w="850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RN-04</w:t>
            </w:r>
          </w:p>
        </w:tc>
        <w:tc>
          <w:tcPr>
            <w:tcW w:type="dxa" w:w="5953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Demais campos do wizard são opcionais na lógica atual.</w:t>
            </w:r>
          </w:p>
        </w:tc>
        <w:tc>
          <w:tcPr>
            <w:tcW w:type="dxa" w:w="2551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Frontend/backend</w:t>
            </w:r>
          </w:p>
        </w:tc>
      </w:tr>
      <w:tr>
        <w:tc>
          <w:tcPr>
            <w:tcW w:type="dxa" w:w="850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RN-05</w:t>
            </w:r>
          </w:p>
        </w:tc>
        <w:tc>
          <w:tcPr>
            <w:tcW w:type="dxa" w:w="5953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Cada anexo pode ter até 20 MB e cada denúncia até 10 anexos.</w:t>
            </w:r>
          </w:p>
        </w:tc>
        <w:tc>
          <w:tcPr>
            <w:tcW w:type="dxa" w:w="2551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middleware/upload.js</w:t>
            </w:r>
          </w:p>
        </w:tc>
      </w:tr>
      <w:tr>
        <w:tc>
          <w:tcPr>
            <w:tcW w:type="dxa" w:w="850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RN-06</w:t>
            </w:r>
          </w:p>
        </w:tc>
        <w:tc>
          <w:tcPr>
            <w:tcW w:type="dxa" w:w="5953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Somente os MIME types da allowlist backend são aceitos.</w:t>
            </w:r>
          </w:p>
        </w:tc>
        <w:tc>
          <w:tcPr>
            <w:tcW w:type="dxa" w:w="2551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middleware/upload.js</w:t>
            </w:r>
          </w:p>
        </w:tc>
      </w:tr>
      <w:tr>
        <w:tc>
          <w:tcPr>
            <w:tcW w:type="dxa" w:w="850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RN-07</w:t>
            </w:r>
          </w:p>
        </w:tc>
        <w:tc>
          <w:tcPr>
            <w:tcW w:type="dxa" w:w="5953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Qualquer anexo deve ser aprovado pelo ClamAV; indisponibilidade bloqueia o envio.</w:t>
            </w:r>
          </w:p>
        </w:tc>
        <w:tc>
          <w:tcPr>
            <w:tcW w:type="dxa" w:w="2551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controller</w:t>
            </w:r>
          </w:p>
        </w:tc>
      </w:tr>
      <w:tr>
        <w:tc>
          <w:tcPr>
            <w:tcW w:type="dxa" w:w="850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RN-08</w:t>
            </w:r>
          </w:p>
        </w:tc>
        <w:tc>
          <w:tcPr>
            <w:tcW w:type="dxa" w:w="5953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O protocolo é gerado pelo BFF e só é devolvido após aceite da API MPT.</w:t>
            </w:r>
          </w:p>
        </w:tc>
        <w:tc>
          <w:tcPr>
            <w:tcW w:type="dxa" w:w="2551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controller</w:t>
            </w:r>
          </w:p>
        </w:tc>
      </w:tr>
      <w:tr>
        <w:tc>
          <w:tcPr>
            <w:tcW w:type="dxa" w:w="850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RN-09</w:t>
            </w:r>
          </w:p>
        </w:tc>
        <w:tc>
          <w:tcPr>
            <w:tcW w:type="dxa" w:w="5953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Denúncia anônima produz sigilo=true; identificada produz sigilo=false.</w:t>
            </w:r>
          </w:p>
        </w:tc>
        <w:tc>
          <w:tcPr>
            <w:tcW w:type="dxa" w:w="2551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buildComplaintPayload</w:t>
            </w:r>
          </w:p>
        </w:tc>
      </w:tr>
      <w:tr>
        <w:tc>
          <w:tcPr>
            <w:tcW w:type="dxa" w:w="850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RN-10</w:t>
            </w:r>
          </w:p>
        </w:tc>
        <w:tc>
          <w:tcPr>
            <w:tcW w:type="dxa" w:w="5953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O rate limit padrão é 20 tentativas por IP a cada 15 minutos.</w:t>
            </w:r>
          </w:p>
        </w:tc>
        <w:tc>
          <w:tcPr>
            <w:tcW w:type="dxa" w:w="2551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server/index.js</w:t>
            </w:r>
          </w:p>
        </w:tc>
      </w:tr>
      <w:tr>
        <w:tc>
          <w:tcPr>
            <w:tcW w:type="dxa" w:w="850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RN-11</w:t>
            </w:r>
          </w:p>
        </w:tc>
        <w:tc>
          <w:tcPr>
            <w:tcW w:type="dxa" w:w="5953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Swagger fica desabilitado em produção salvo opt-in.</w:t>
            </w:r>
          </w:p>
        </w:tc>
        <w:tc>
          <w:tcPr>
            <w:tcW w:type="dxa" w:w="2551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ENABLE_API_DOCS</w:t>
            </w:r>
          </w:p>
        </w:tc>
      </w:tr>
      <w:tr>
        <w:tc>
          <w:tcPr>
            <w:tcW w:type="dxa" w:w="850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RN-12</w:t>
            </w:r>
          </w:p>
        </w:tc>
        <w:tc>
          <w:tcPr>
            <w:tcW w:type="dxa" w:w="5953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Produção exige MPT_API_URL, FRONTEND_URL, REDIS_URL e CLAMAV_HOST.</w:t>
            </w:r>
          </w:p>
        </w:tc>
        <w:tc>
          <w:tcPr>
            <w:tcW w:type="dxa" w:w="2551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assertProductionConfiguration</w:t>
            </w:r>
          </w:p>
        </w:tc>
      </w:tr>
      <w:tr>
        <w:tc>
          <w:tcPr>
            <w:tcW w:type="dxa" w:w="850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RN-13</w:t>
            </w:r>
          </w:p>
        </w:tc>
        <w:tc>
          <w:tcPr>
            <w:tcW w:type="dxa" w:w="5953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Falha da API MPT retorna 502; configuração/antimalware indisponível retorna 503.</w:t>
            </w:r>
          </w:p>
        </w:tc>
        <w:tc>
          <w:tcPr>
            <w:tcW w:type="dxa" w:w="2551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controller</w:t>
            </w:r>
          </w:p>
        </w:tc>
      </w:tr>
      <w:tr>
        <w:tc>
          <w:tcPr>
            <w:tcW w:type="dxa" w:w="850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RN-14</w:t>
            </w:r>
          </w:p>
        </w:tc>
        <w:tc>
          <w:tcPr>
            <w:tcW w:type="dxa" w:w="5953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Arquivos temporários são excluídos ao fim da requisição.</w:t>
            </w:r>
          </w:p>
        </w:tc>
        <w:tc>
          <w:tcPr>
            <w:tcW w:type="dxa" w:w="2551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cleanupUploadedFiles</w:t>
            </w:r>
          </w:p>
        </w:tc>
      </w:tr>
    </w:tbl>
    <w:p>
      <w:pPr>
        <w:spacing w:after="120" w:before="240"/>
        <w:jc w:val="left"/>
        <w:pBdr>
          <w:bottom w:val="single" w:sz="8" w:space="1" w:color="17335C"/>
        </w:pBdr>
      </w:pPr>
      <w:r>
        <w:rPr>
          <w:rFonts w:ascii="Calibri" w:hAnsi="Calibri"/>
          <w:b/>
          <w:color w:val="17335C"/>
          <w:sz w:val="40"/>
        </w:rPr>
        <w:t>5. Dicionário de dados da denúncia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c>
          <w:tcPr>
            <w:tcW w:type="dxa" w:w="1757"/>
            <w:vAlign w:val="center"/>
            <w:shd w:val="clear" w:color="auto" w:fill="17335C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1247"/>
            <w:vAlign w:val="center"/>
            <w:shd w:val="clear" w:color="auto" w:fill="17335C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1757"/>
            <w:vAlign w:val="center"/>
            <w:shd w:val="clear" w:color="auto" w:fill="17335C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Obrigatoriedade atual</w:t>
            </w:r>
          </w:p>
        </w:tc>
        <w:tc>
          <w:tcPr>
            <w:tcW w:type="dxa" w:w="2551"/>
            <w:vAlign w:val="center"/>
            <w:shd w:val="clear" w:color="auto" w:fill="17335C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Regra/semântica</w:t>
            </w:r>
          </w:p>
        </w:tc>
        <w:tc>
          <w:tcPr>
            <w:tcW w:type="dxa" w:w="2041"/>
            <w:vAlign w:val="center"/>
            <w:shd w:val="clear" w:color="auto" w:fill="17335C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Tratamento atual</w:t>
            </w:r>
          </w:p>
        </w:tc>
      </w:tr>
      <w:tr>
        <w:tc>
          <w:tcPr>
            <w:tcW w:type="dxa" w:w="1757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irregularidades</w:t>
            </w:r>
          </w:p>
        </w:tc>
        <w:tc>
          <w:tcPr>
            <w:tcW w:type="dxa" w:w="1247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Lista</w:t>
            </w:r>
          </w:p>
        </w:tc>
        <w:tc>
          <w:tcPr>
            <w:tcW w:type="dxa" w:w="1757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Condicional</w:t>
            </w:r>
          </w:p>
        </w:tc>
        <w:tc>
          <w:tcPr>
            <w:tcW w:type="dxa" w:w="2551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Uma ou mais categorias; alternativa ao relato.</w:t>
            </w:r>
          </w:p>
        </w:tc>
        <w:tc>
          <w:tcPr>
            <w:tcW w:type="dxa" w:w="2041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Enviado</w:t>
            </w:r>
          </w:p>
        </w:tc>
      </w:tr>
      <w:tr>
        <w:tc>
          <w:tcPr>
            <w:tcW w:type="dxa" w:w="1757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relato_texto</w:t>
            </w:r>
          </w:p>
        </w:tc>
        <w:tc>
          <w:tcPr>
            <w:tcW w:type="dxa" w:w="1247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Texto</w:t>
            </w:r>
          </w:p>
        </w:tc>
        <w:tc>
          <w:tcPr>
            <w:tcW w:type="dxa" w:w="1757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Condicional</w:t>
            </w:r>
          </w:p>
        </w:tc>
        <w:tc>
          <w:tcPr>
            <w:tcW w:type="dxa" w:w="2551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Texto livre; alternativa às categorias.</w:t>
            </w:r>
          </w:p>
        </w:tc>
        <w:tc>
          <w:tcPr>
            <w:tcW w:type="dxa" w:w="2041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Enviado</w:t>
            </w:r>
          </w:p>
        </w:tc>
      </w:tr>
      <w:tr>
        <w:tc>
          <w:tcPr>
            <w:tcW w:type="dxa" w:w="1757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relato_audio</w:t>
            </w:r>
          </w:p>
        </w:tc>
        <w:tc>
          <w:tcPr>
            <w:tcW w:type="dxa" w:w="1247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Blob</w:t>
            </w:r>
          </w:p>
        </w:tc>
        <w:tc>
          <w:tcPr>
            <w:tcW w:type="dxa" w:w="1757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Opcional/indefinido</w:t>
            </w:r>
          </w:p>
        </w:tc>
        <w:tc>
          <w:tcPr>
            <w:tcW w:type="dxa" w:w="2551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Gravado no navegador.</w:t>
            </w:r>
          </w:p>
        </w:tc>
        <w:tc>
          <w:tcPr>
            <w:tcW w:type="dxa" w:w="2041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Não transmitido corretamente</w:t>
            </w:r>
          </w:p>
        </w:tc>
      </w:tr>
      <w:tr>
        <w:tc>
          <w:tcPr>
            <w:tcW w:type="dxa" w:w="1757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relato_audio_transcricao</w:t>
            </w:r>
          </w:p>
        </w:tc>
        <w:tc>
          <w:tcPr>
            <w:tcW w:type="dxa" w:w="1247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Texto</w:t>
            </w:r>
          </w:p>
        </w:tc>
        <w:tc>
          <w:tcPr>
            <w:tcW w:type="dxa" w:w="1757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Indefinido</w:t>
            </w:r>
          </w:p>
        </w:tc>
        <w:tc>
          <w:tcPr>
            <w:tcW w:type="dxa" w:w="2551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Existe no modelo, sem geração.</w:t>
            </w:r>
          </w:p>
        </w:tc>
        <w:tc>
          <w:tcPr>
            <w:tcW w:type="dxa" w:w="2041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Não produzido</w:t>
            </w:r>
          </w:p>
        </w:tc>
      </w:tr>
      <w:tr>
        <w:tc>
          <w:tcPr>
            <w:tcW w:type="dxa" w:w="1757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periodo_ocorrencia</w:t>
            </w:r>
          </w:p>
        </w:tc>
        <w:tc>
          <w:tcPr>
            <w:tcW w:type="dxa" w:w="1247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Texto</w:t>
            </w:r>
          </w:p>
        </w:tc>
        <w:tc>
          <w:tcPr>
            <w:tcW w:type="dxa" w:w="1757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Opcional</w:t>
            </w:r>
          </w:p>
        </w:tc>
        <w:tc>
          <w:tcPr>
            <w:tcW w:type="dxa" w:w="2551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Período informado livremente.</w:t>
            </w:r>
          </w:p>
        </w:tc>
        <w:tc>
          <w:tcPr>
            <w:tcW w:type="dxa" w:w="2041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Enviado</w:t>
            </w:r>
          </w:p>
        </w:tc>
      </w:tr>
      <w:tr>
        <w:tc>
          <w:tcPr>
            <w:tcW w:type="dxa" w:w="1757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modalidade_trabalho</w:t>
            </w:r>
          </w:p>
        </w:tc>
        <w:tc>
          <w:tcPr>
            <w:tcW w:type="dxa" w:w="1247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Texto</w:t>
            </w:r>
          </w:p>
        </w:tc>
        <w:tc>
          <w:tcPr>
            <w:tcW w:type="dxa" w:w="1757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Opcional</w:t>
            </w:r>
          </w:p>
        </w:tc>
        <w:tc>
          <w:tcPr>
            <w:tcW w:type="dxa" w:w="2551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Presencial/remoto etc.</w:t>
            </w:r>
          </w:p>
        </w:tc>
        <w:tc>
          <w:tcPr>
            <w:tcW w:type="dxa" w:w="2041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Enviado</w:t>
            </w:r>
          </w:p>
        </w:tc>
      </w:tr>
      <w:tr>
        <w:tc>
          <w:tcPr>
            <w:tcW w:type="dxa" w:w="1757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numero_prejudicados</w:t>
            </w:r>
          </w:p>
        </w:tc>
        <w:tc>
          <w:tcPr>
            <w:tcW w:type="dxa" w:w="1247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Texto</w:t>
            </w:r>
          </w:p>
        </w:tc>
        <w:tc>
          <w:tcPr>
            <w:tcW w:type="dxa" w:w="1757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Opcional</w:t>
            </w:r>
          </w:p>
        </w:tc>
        <w:tc>
          <w:tcPr>
            <w:tcW w:type="dxa" w:w="2551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Não é numérico estruturado.</w:t>
            </w:r>
          </w:p>
        </w:tc>
        <w:tc>
          <w:tcPr>
            <w:tcW w:type="dxa" w:w="2041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Enviado</w:t>
            </w:r>
          </w:p>
        </w:tc>
      </w:tr>
      <w:tr>
        <w:tc>
          <w:tcPr>
            <w:tcW w:type="dxa" w:w="1757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funcoes_setores</w:t>
            </w:r>
          </w:p>
        </w:tc>
        <w:tc>
          <w:tcPr>
            <w:tcW w:type="dxa" w:w="1247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Texto</w:t>
            </w:r>
          </w:p>
        </w:tc>
        <w:tc>
          <w:tcPr>
            <w:tcW w:type="dxa" w:w="1757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Opcional</w:t>
            </w:r>
          </w:p>
        </w:tc>
        <w:tc>
          <w:tcPr>
            <w:tcW w:type="dxa" w:w="2551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Funções/setores afetados.</w:t>
            </w:r>
          </w:p>
        </w:tc>
        <w:tc>
          <w:tcPr>
            <w:tcW w:type="dxa" w:w="2041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Enviado; omitido na revisão</w:t>
            </w:r>
          </w:p>
        </w:tc>
      </w:tr>
      <w:tr>
        <w:tc>
          <w:tcPr>
            <w:tcW w:type="dxa" w:w="1757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nomes_dados</w:t>
            </w:r>
          </w:p>
        </w:tc>
        <w:tc>
          <w:tcPr>
            <w:tcW w:type="dxa" w:w="1247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Texto sensível</w:t>
            </w:r>
          </w:p>
        </w:tc>
        <w:tc>
          <w:tcPr>
            <w:tcW w:type="dxa" w:w="1757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Opcional</w:t>
            </w:r>
          </w:p>
        </w:tc>
        <w:tc>
          <w:tcPr>
            <w:tcW w:type="dxa" w:w="2551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Nomes, e-mails e dados de terceiros.</w:t>
            </w:r>
          </w:p>
        </w:tc>
        <w:tc>
          <w:tcPr>
            <w:tcW w:type="dxa" w:w="2041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Enviado; omitido na revisão</w:t>
            </w:r>
          </w:p>
        </w:tc>
      </w:tr>
      <w:tr>
        <w:tc>
          <w:tcPr>
            <w:tcW w:type="dxa" w:w="1757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grupos_vulneraveis</w:t>
            </w:r>
          </w:p>
        </w:tc>
        <w:tc>
          <w:tcPr>
            <w:tcW w:type="dxa" w:w="1247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Lista</w:t>
            </w:r>
          </w:p>
        </w:tc>
        <w:tc>
          <w:tcPr>
            <w:tcW w:type="dxa" w:w="1757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Opcional</w:t>
            </w:r>
          </w:p>
        </w:tc>
        <w:tc>
          <w:tcPr>
            <w:tcW w:type="dxa" w:w="2551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Duas categorias atuais.</w:t>
            </w:r>
          </w:p>
        </w:tc>
        <w:tc>
          <w:tcPr>
            <w:tcW w:type="dxa" w:w="2041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Enviado</w:t>
            </w:r>
          </w:p>
        </w:tc>
      </w:tr>
      <w:tr>
        <w:tc>
          <w:tcPr>
            <w:tcW w:type="dxa" w:w="1757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anexos</w:t>
            </w:r>
          </w:p>
        </w:tc>
        <w:tc>
          <w:tcPr>
            <w:tcW w:type="dxa" w:w="1247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Arquivo</w:t>
            </w:r>
          </w:p>
        </w:tc>
        <w:tc>
          <w:tcPr>
            <w:tcW w:type="dxa" w:w="1757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Opcional</w:t>
            </w:r>
          </w:p>
        </w:tc>
        <w:tc>
          <w:tcPr>
            <w:tcW w:type="dxa" w:w="2551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Até 10 × 20 MB.</w:t>
            </w:r>
          </w:p>
        </w:tc>
        <w:tc>
          <w:tcPr>
            <w:tcW w:type="dxa" w:w="2041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Multipart separado</w:t>
            </w:r>
          </w:p>
        </w:tc>
      </w:tr>
      <w:tr>
        <w:tc>
          <w:tcPr>
            <w:tcW w:type="dxa" w:w="1757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procurou_outro_orgao</w:t>
            </w:r>
          </w:p>
        </w:tc>
        <w:tc>
          <w:tcPr>
            <w:tcW w:type="dxa" w:w="1247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Boolean/nulo</w:t>
            </w:r>
          </w:p>
        </w:tc>
        <w:tc>
          <w:tcPr>
            <w:tcW w:type="dxa" w:w="1757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Opcional</w:t>
            </w:r>
          </w:p>
        </w:tc>
        <w:tc>
          <w:tcPr>
            <w:tcW w:type="dxa" w:w="2551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Sim, não ou não informado.</w:t>
            </w:r>
          </w:p>
        </w:tc>
        <w:tc>
          <w:tcPr>
            <w:tcW w:type="dxa" w:w="2041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Enviado</w:t>
            </w:r>
          </w:p>
        </w:tc>
      </w:tr>
      <w:tr>
        <w:tc>
          <w:tcPr>
            <w:tcW w:type="dxa" w:w="1757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tipo_identificacao</w:t>
            </w:r>
          </w:p>
        </w:tc>
        <w:tc>
          <w:tcPr>
            <w:tcW w:type="dxa" w:w="1247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Enum</w:t>
            </w:r>
          </w:p>
        </w:tc>
        <w:tc>
          <w:tcPr>
            <w:tcW w:type="dxa" w:w="1757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Padrão anônimo</w:t>
            </w:r>
          </w:p>
        </w:tc>
        <w:tc>
          <w:tcPr>
            <w:tcW w:type="dxa" w:w="2551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anonimo | identificado.</w:t>
            </w:r>
          </w:p>
        </w:tc>
        <w:tc>
          <w:tcPr>
            <w:tcW w:type="dxa" w:w="2041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Enviado</w:t>
            </w:r>
          </w:p>
        </w:tc>
      </w:tr>
      <w:tr>
        <w:tc>
          <w:tcPr>
            <w:tcW w:type="dxa" w:w="1757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nome_completo</w:t>
            </w:r>
          </w:p>
        </w:tc>
        <w:tc>
          <w:tcPr>
            <w:tcW w:type="dxa" w:w="1247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Texto pessoal</w:t>
            </w:r>
          </w:p>
        </w:tc>
        <w:tc>
          <w:tcPr>
            <w:tcW w:type="dxa" w:w="1757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Não validado</w:t>
            </w:r>
          </w:p>
        </w:tc>
        <w:tc>
          <w:tcPr>
            <w:tcW w:type="dxa" w:w="2551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Exibido quando identificado.</w:t>
            </w:r>
          </w:p>
        </w:tc>
        <w:tc>
          <w:tcPr>
            <w:tcW w:type="dxa" w:w="2041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Enviado mesmo se voltar a anônimo</w:t>
            </w:r>
          </w:p>
        </w:tc>
      </w:tr>
      <w:tr>
        <w:tc>
          <w:tcPr>
            <w:tcW w:type="dxa" w:w="1757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email</w:t>
            </w:r>
          </w:p>
        </w:tc>
        <w:tc>
          <w:tcPr>
            <w:tcW w:type="dxa" w:w="1247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Texto pessoal</w:t>
            </w:r>
          </w:p>
        </w:tc>
        <w:tc>
          <w:tcPr>
            <w:tcW w:type="dxa" w:w="1757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Não validado</w:t>
            </w:r>
          </w:p>
        </w:tc>
        <w:tc>
          <w:tcPr>
            <w:tcW w:type="dxa" w:w="2551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Input type=email sem bloqueio de avanço.</w:t>
            </w:r>
          </w:p>
        </w:tc>
        <w:tc>
          <w:tcPr>
            <w:tcW w:type="dxa" w:w="2041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Enviado</w:t>
            </w:r>
          </w:p>
        </w:tc>
      </w:tr>
      <w:tr>
        <w:tc>
          <w:tcPr>
            <w:tcW w:type="dxa" w:w="1757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telefone</w:t>
            </w:r>
          </w:p>
        </w:tc>
        <w:tc>
          <w:tcPr>
            <w:tcW w:type="dxa" w:w="1247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Texto pessoal</w:t>
            </w:r>
          </w:p>
        </w:tc>
        <w:tc>
          <w:tcPr>
            <w:tcW w:type="dxa" w:w="1757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Não validado</w:t>
            </w:r>
          </w:p>
        </w:tc>
        <w:tc>
          <w:tcPr>
            <w:tcW w:type="dxa" w:w="2551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Sem máscara ou validação.</w:t>
            </w:r>
          </w:p>
        </w:tc>
        <w:tc>
          <w:tcPr>
            <w:tcW w:type="dxa" w:w="2041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Enviado</w:t>
            </w:r>
          </w:p>
        </w:tc>
      </w:tr>
      <w:tr>
        <w:tc>
          <w:tcPr>
            <w:tcW w:type="dxa" w:w="1757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uf</w:t>
            </w:r>
          </w:p>
        </w:tc>
        <w:tc>
          <w:tcPr>
            <w:tcW w:type="dxa" w:w="1247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Enum</w:t>
            </w:r>
          </w:p>
        </w:tc>
        <w:tc>
          <w:tcPr>
            <w:tcW w:type="dxa" w:w="1757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Obrigatório</w:t>
            </w:r>
          </w:p>
        </w:tc>
        <w:tc>
          <w:tcPr>
            <w:tcW w:type="dxa" w:w="2551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27 UFs.</w:t>
            </w:r>
          </w:p>
        </w:tc>
        <w:tc>
          <w:tcPr>
            <w:tcW w:type="dxa" w:w="2041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Validado apenas como não vazio</w:t>
            </w:r>
          </w:p>
        </w:tc>
      </w:tr>
      <w:tr>
        <w:tc>
          <w:tcPr>
            <w:tcW w:type="dxa" w:w="1757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municipio</w:t>
            </w:r>
          </w:p>
        </w:tc>
        <w:tc>
          <w:tcPr>
            <w:tcW w:type="dxa" w:w="1247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Texto</w:t>
            </w:r>
          </w:p>
        </w:tc>
        <w:tc>
          <w:tcPr>
            <w:tcW w:type="dxa" w:w="1757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Obrigatório</w:t>
            </w:r>
          </w:p>
        </w:tc>
        <w:tc>
          <w:tcPr>
            <w:tcW w:type="dxa" w:w="2551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Sem lista oficial/código IBGE.</w:t>
            </w:r>
          </w:p>
        </w:tc>
        <w:tc>
          <w:tcPr>
            <w:tcW w:type="dxa" w:w="2041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Validado apenas como não vazio</w:t>
            </w:r>
          </w:p>
        </w:tc>
      </w:tr>
      <w:tr>
        <w:tc>
          <w:tcPr>
            <w:tcW w:type="dxa" w:w="1757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nome_empresa</w:t>
            </w:r>
          </w:p>
        </w:tc>
        <w:tc>
          <w:tcPr>
            <w:tcW w:type="dxa" w:w="1247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Texto</w:t>
            </w:r>
          </w:p>
        </w:tc>
        <w:tc>
          <w:tcPr>
            <w:tcW w:type="dxa" w:w="1757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Opcional</w:t>
            </w:r>
          </w:p>
        </w:tc>
        <w:tc>
          <w:tcPr>
            <w:tcW w:type="dxa" w:w="2551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Nome informado livremente.</w:t>
            </w:r>
          </w:p>
        </w:tc>
        <w:tc>
          <w:tcPr>
            <w:tcW w:type="dxa" w:w="2041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Enviado</w:t>
            </w:r>
          </w:p>
        </w:tc>
      </w:tr>
      <w:tr>
        <w:tc>
          <w:tcPr>
            <w:tcW w:type="dxa" w:w="1757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endereco_empresa</w:t>
            </w:r>
          </w:p>
        </w:tc>
        <w:tc>
          <w:tcPr>
            <w:tcW w:type="dxa" w:w="1247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Texto</w:t>
            </w:r>
          </w:p>
        </w:tc>
        <w:tc>
          <w:tcPr>
            <w:tcW w:type="dxa" w:w="1757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Opcional</w:t>
            </w:r>
          </w:p>
        </w:tc>
        <w:tc>
          <w:tcPr>
            <w:tcW w:type="dxa" w:w="2551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Endereço/ponto de referência.</w:t>
            </w:r>
          </w:p>
        </w:tc>
        <w:tc>
          <w:tcPr>
            <w:tcW w:type="dxa" w:w="2041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Enviado; omitido na revisão</w:t>
            </w:r>
          </w:p>
        </w:tc>
      </w:tr>
      <w:tr>
        <w:tc>
          <w:tcPr>
            <w:tcW w:type="dxa" w:w="1757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cnpj_empresa</w:t>
            </w:r>
          </w:p>
        </w:tc>
        <w:tc>
          <w:tcPr>
            <w:tcW w:type="dxa" w:w="1247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Texto</w:t>
            </w:r>
          </w:p>
        </w:tc>
        <w:tc>
          <w:tcPr>
            <w:tcW w:type="dxa" w:w="1757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Opcional</w:t>
            </w:r>
          </w:p>
        </w:tc>
        <w:tc>
          <w:tcPr>
            <w:tcW w:type="dxa" w:w="2551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Máscara 00.000.000/0000-00.</w:t>
            </w:r>
          </w:p>
        </w:tc>
        <w:tc>
          <w:tcPr>
            <w:tcW w:type="dxa" w:w="2041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Sem dígito verificador; omitido na revisão</w:t>
            </w:r>
          </w:p>
        </w:tc>
      </w:tr>
    </w:tbl>
    <w:p>
      <w:pPr>
        <w:spacing w:after="120" w:before="240"/>
        <w:jc w:val="left"/>
        <w:pBdr>
          <w:bottom w:val="single" w:sz="8" w:space="1" w:color="17335C"/>
        </w:pBdr>
      </w:pPr>
      <w:r>
        <w:rPr>
          <w:rFonts w:ascii="Calibri" w:hAnsi="Calibri"/>
          <w:b/>
          <w:color w:val="17335C"/>
          <w:sz w:val="40"/>
        </w:rPr>
        <w:t>6. Contrato e respostas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948"/>
            <w:vAlign w:val="center"/>
            <w:shd w:val="clear" w:color="auto" w:fill="17335C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Endpoint/status</w:t>
            </w:r>
          </w:p>
        </w:tc>
        <w:tc>
          <w:tcPr>
            <w:tcW w:type="dxa" w:w="6406"/>
            <w:vAlign w:val="center"/>
            <w:shd w:val="clear" w:color="auto" w:fill="17335C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Comportamento</w:t>
            </w:r>
          </w:p>
        </w:tc>
      </w:tr>
      <w:tr>
        <w:tc>
          <w:tcPr>
            <w:tcW w:type="dxa" w:w="2948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POST /api/denuncias — 201</w:t>
            </w:r>
          </w:p>
        </w:tc>
        <w:tc>
          <w:tcPr>
            <w:tcW w:type="dxa" w:w="6406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API MPT aceitou; retorna sucesso, protocolo, mensagem e timestamp.</w:t>
            </w:r>
          </w:p>
        </w:tc>
      </w:tr>
      <w:tr>
        <w:tc>
          <w:tcPr>
            <w:tcW w:type="dxa" w:w="2948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POST — 400</w:t>
            </w:r>
          </w:p>
        </w:tc>
        <w:tc>
          <w:tcPr>
            <w:tcW w:type="dxa" w:w="6406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JSON inválido, excesso de arquivos ou erro de formato tratado.</w:t>
            </w:r>
          </w:p>
        </w:tc>
      </w:tr>
      <w:tr>
        <w:tc>
          <w:tcPr>
            <w:tcW w:type="dxa" w:w="2948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POST — 413</w:t>
            </w:r>
          </w:p>
        </w:tc>
        <w:tc>
          <w:tcPr>
            <w:tcW w:type="dxa" w:w="6406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Arquivo acima de MAX_FILE_SIZE.</w:t>
            </w:r>
          </w:p>
        </w:tc>
      </w:tr>
      <w:tr>
        <w:tc>
          <w:tcPr>
            <w:tcW w:type="dxa" w:w="2948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POST — 422</w:t>
            </w:r>
          </w:p>
        </w:tc>
        <w:tc>
          <w:tcPr>
            <w:tcW w:type="dxa" w:w="6406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Campos mínimos ausentes ou anexo infectado.</w:t>
            </w:r>
          </w:p>
        </w:tc>
      </w:tr>
      <w:tr>
        <w:tc>
          <w:tcPr>
            <w:tcW w:type="dxa" w:w="2948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POST — 429</w:t>
            </w:r>
          </w:p>
        </w:tc>
        <w:tc>
          <w:tcPr>
            <w:tcW w:type="dxa" w:w="6406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Rate limit excedido.</w:t>
            </w:r>
          </w:p>
        </w:tc>
      </w:tr>
      <w:tr>
        <w:tc>
          <w:tcPr>
            <w:tcW w:type="dxa" w:w="2948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POST — 502</w:t>
            </w:r>
          </w:p>
        </w:tc>
        <w:tc>
          <w:tcPr>
            <w:tcW w:type="dxa" w:w="6406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API interna não aceitou/não respondeu corretamente.</w:t>
            </w:r>
          </w:p>
        </w:tc>
      </w:tr>
      <w:tr>
        <w:tc>
          <w:tcPr>
            <w:tcW w:type="dxa" w:w="2948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POST — 503</w:t>
            </w:r>
          </w:p>
        </w:tc>
        <w:tc>
          <w:tcPr>
            <w:tcW w:type="dxa" w:w="6406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Configuração MPT ausente ou scanner antimalware indisponível.</w:t>
            </w:r>
          </w:p>
        </w:tc>
      </w:tr>
      <w:tr>
        <w:tc>
          <w:tcPr>
            <w:tcW w:type="dxa" w:w="2948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GET /api/denuncias/info</w:t>
            </w:r>
          </w:p>
        </w:tc>
        <w:tc>
          <w:tcPr>
            <w:tcW w:type="dxa" w:w="6406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Informa endpoint, campos, limites e tipos permitidos.</w:t>
            </w:r>
          </w:p>
        </w:tc>
      </w:tr>
      <w:tr>
        <w:tc>
          <w:tcPr>
            <w:tcW w:type="dxa" w:w="2948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GET /health</w:t>
            </w:r>
          </w:p>
        </w:tc>
        <w:tc>
          <w:tcPr>
            <w:tcW w:type="dxa" w:w="6406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Liveness simples do processo; não comprova dependências.</w:t>
            </w:r>
          </w:p>
        </w:tc>
      </w:tr>
      <w:tr>
        <w:tc>
          <w:tcPr>
            <w:tcW w:type="dxa" w:w="2948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GET /api-docs</w:t>
            </w:r>
          </w:p>
        </w:tc>
        <w:tc>
          <w:tcPr>
            <w:tcW w:type="dxa" w:w="6406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Swagger em desenvolvimento; opt-in explícito em produção.</w:t>
            </w:r>
          </w:p>
        </w:tc>
      </w:tr>
    </w:tbl>
    <w:p>
      <w:r>
        <w:br w:type="page"/>
      </w:r>
    </w:p>
    <w:p>
      <w:pPr>
        <w:spacing w:after="120" w:before="240"/>
        <w:jc w:val="left"/>
        <w:pBdr>
          <w:bottom w:val="single" w:sz="8" w:space="1" w:color="17335C"/>
        </w:pBdr>
      </w:pPr>
      <w:r>
        <w:rPr>
          <w:rFonts w:ascii="Calibri" w:hAnsi="Calibri"/>
          <w:b/>
          <w:color w:val="17335C"/>
          <w:sz w:val="40"/>
        </w:rPr>
        <w:t>7. Requisitos conflitantes e ambiguidades</w:t>
      </w:r>
    </w:p>
    <w:p>
      <w:pPr>
        <w:spacing w:after="120" w:before="0"/>
        <w:jc w:val="both"/>
      </w:pPr>
      <w:r>
        <w:rPr>
          <w:rFonts w:ascii="Calibri" w:hAnsi="Calibri"/>
          <w:b w:val="0"/>
          <w:sz w:val="22"/>
        </w:rPr>
        <w:t>Conflito significa que texto, interface, modelo e comportamento não comunicam a mesma regra. Os itens críticos devem ser resolvidos antes da homologação com dados reais.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rPr>
          <w:tblHeader w:val="true"/>
        </w:trPr>
        <w:tc>
          <w:tcPr>
            <w:tcW w:type="dxa" w:w="680"/>
            <w:vAlign w:val="center"/>
            <w:shd w:val="clear" w:color="auto" w:fill="17335C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1020"/>
            <w:vAlign w:val="center"/>
            <w:shd w:val="clear" w:color="auto" w:fill="17335C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Severidade</w:t>
            </w:r>
          </w:p>
        </w:tc>
        <w:tc>
          <w:tcPr>
            <w:tcW w:type="dxa" w:w="4139"/>
            <w:vAlign w:val="center"/>
            <w:shd w:val="clear" w:color="auto" w:fill="17335C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Conflito/ambiguidade</w:t>
            </w:r>
          </w:p>
        </w:tc>
        <w:tc>
          <w:tcPr>
            <w:tcW w:type="dxa" w:w="3515"/>
            <w:vAlign w:val="center"/>
            <w:shd w:val="clear" w:color="auto" w:fill="17335C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Decisão necessária</w:t>
            </w:r>
          </w:p>
        </w:tc>
      </w:tr>
      <w:tr>
        <w:tc>
          <w:tcPr>
            <w:tcW w:type="dxa" w:w="680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C-01</w:t>
            </w:r>
          </w:p>
        </w:tc>
        <w:tc>
          <w:tcPr>
            <w:tcW w:type="dxa" w:w="1020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  <w:shd w:val="clear" w:color="auto" w:fill="F4CCCC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Crítico</w:t>
            </w:r>
          </w:p>
        </w:tc>
        <w:tc>
          <w:tcPr>
            <w:tcW w:type="dxa" w:w="4139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Áudio aparece como gravado com sucesso, mas não é transmitido nem transcrito.</w:t>
            </w:r>
          </w:p>
        </w:tc>
        <w:tc>
          <w:tcPr>
            <w:tcW w:type="dxa" w:w="3515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Decidir se áudio pertence ao escopo; implementar ponta a ponta ou retirar a promessa.</w:t>
            </w:r>
          </w:p>
        </w:tc>
      </w:tr>
      <w:tr>
        <w:tc>
          <w:tcPr>
            <w:tcW w:type="dxa" w:w="680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C-02</w:t>
            </w:r>
          </w:p>
        </w:tc>
        <w:tc>
          <w:tcPr>
            <w:tcW w:type="dxa" w:w="1020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  <w:shd w:val="clear" w:color="auto" w:fill="F4CCCC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Crítico</w:t>
            </w:r>
          </w:p>
        </w:tc>
        <w:tc>
          <w:tcPr>
            <w:tcW w:type="dxa" w:w="4139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A mensagem “Sua voz não será identificada” não possui mecanismo técnico de anonimização de voz.</w:t>
            </w:r>
          </w:p>
        </w:tc>
        <w:tc>
          <w:tcPr>
            <w:tcW w:type="dxa" w:w="3515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Validar texto com negócio/jurídico e definir tratamento técnico.</w:t>
            </w:r>
          </w:p>
        </w:tc>
      </w:tr>
      <w:tr>
        <w:tc>
          <w:tcPr>
            <w:tcW w:type="dxa" w:w="680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C-03</w:t>
            </w:r>
          </w:p>
        </w:tc>
        <w:tc>
          <w:tcPr>
            <w:tcW w:type="dxa" w:w="1020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  <w:shd w:val="clear" w:color="auto" w:fill="F4CCCC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Crítico</w:t>
            </w:r>
          </w:p>
        </w:tc>
        <w:tc>
          <w:tcPr>
            <w:tcW w:type="dxa" w:w="4139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Ao trocar de identificado para anônimo, nome/e-mail/telefone permanecem no estado e são enviados.</w:t>
            </w:r>
          </w:p>
        </w:tc>
        <w:tc>
          <w:tcPr>
            <w:tcW w:type="dxa" w:w="3515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Limpar dados pessoais ao selecionar anonimato ou obter regra formal diferente.</w:t>
            </w:r>
          </w:p>
        </w:tc>
      </w:tr>
      <w:tr>
        <w:tc>
          <w:tcPr>
            <w:tcW w:type="dxa" w:w="680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C-04</w:t>
            </w:r>
          </w:p>
        </w:tc>
        <w:tc>
          <w:tcPr>
            <w:tcW w:type="dxa" w:w="1020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  <w:shd w:val="clear" w:color="auto" w:fill="F4CCCC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Crítico</w:t>
            </w:r>
          </w:p>
        </w:tc>
        <w:tc>
          <w:tcPr>
            <w:tcW w:type="dxa" w:w="4139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A UI afirma sigilo dos dados pessoais, mas o payload define sigilo=false para identificado.</w:t>
            </w:r>
          </w:p>
        </w:tc>
        <w:tc>
          <w:tcPr>
            <w:tcW w:type="dxa" w:w="3515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Definir o significado jurídico/técnico de sigilo e anonimato.</w:t>
            </w:r>
          </w:p>
        </w:tc>
      </w:tr>
      <w:tr>
        <w:tc>
          <w:tcPr>
            <w:tcW w:type="dxa" w:w="680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C-05</w:t>
            </w:r>
          </w:p>
        </w:tc>
        <w:tc>
          <w:tcPr>
            <w:tcW w:type="dxa" w:w="1020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  <w:shd w:val="clear" w:color="auto" w:fill="FFF2CC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Alto</w:t>
            </w:r>
          </w:p>
        </w:tc>
        <w:tc>
          <w:tcPr>
            <w:tcW w:type="dxa" w:w="4139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A UI marca UF/município como obrigatórios, mas permite chegar à revisão e tentar enviar vazios.</w:t>
            </w:r>
          </w:p>
        </w:tc>
        <w:tc>
          <w:tcPr>
            <w:tcW w:type="dxa" w:w="3515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Aplicar validação antes da navegação e mensagem por campo.</w:t>
            </w:r>
          </w:p>
        </w:tc>
      </w:tr>
      <w:tr>
        <w:tc>
          <w:tcPr>
            <w:tcW w:type="dxa" w:w="680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C-06</w:t>
            </w:r>
          </w:p>
        </w:tc>
        <w:tc>
          <w:tcPr>
            <w:tcW w:type="dxa" w:w="1020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  <w:shd w:val="clear" w:color="auto" w:fill="FFF2CC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Alto</w:t>
            </w:r>
          </w:p>
        </w:tc>
        <w:tc>
          <w:tcPr>
            <w:tcW w:type="dxa" w:w="4139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A documentação prevê validação de CNPJ; o código faz somente máscara.</w:t>
            </w:r>
          </w:p>
        </w:tc>
        <w:tc>
          <w:tcPr>
            <w:tcW w:type="dxa" w:w="3515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Definir se CNPJ é apenas informativo ou deve ter dígito verificador.</w:t>
            </w:r>
          </w:p>
        </w:tc>
      </w:tr>
      <w:tr>
        <w:tc>
          <w:tcPr>
            <w:tcW w:type="dxa" w:w="680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C-07</w:t>
            </w:r>
          </w:p>
        </w:tc>
        <w:tc>
          <w:tcPr>
            <w:tcW w:type="dxa" w:w="1020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  <w:shd w:val="clear" w:color="auto" w:fill="FFF2CC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Alto</w:t>
            </w:r>
          </w:p>
        </w:tc>
        <w:tc>
          <w:tcPr>
            <w:tcW w:type="dxa" w:w="4139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A revisão promete conferir os dados, mas omite contato, endereço, CNPJ, nomes/dados, funções e áudio.</w:t>
            </w:r>
          </w:p>
        </w:tc>
        <w:tc>
          <w:tcPr>
            <w:tcW w:type="dxa" w:w="3515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Definir o conjunto obrigatório da revisão e exibir dados sensíveis com cuidado.</w:t>
            </w:r>
          </w:p>
        </w:tc>
      </w:tr>
      <w:tr>
        <w:tc>
          <w:tcPr>
            <w:tcW w:type="dxa" w:w="680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C-08</w:t>
            </w:r>
          </w:p>
        </w:tc>
        <w:tc>
          <w:tcPr>
            <w:tcW w:type="dxa" w:w="1020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  <w:shd w:val="clear" w:color="auto" w:fill="FFF2CC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Alto</w:t>
            </w:r>
          </w:p>
        </w:tc>
        <w:tc>
          <w:tcPr>
            <w:tcW w:type="dxa" w:w="4139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O seletor frontend aceita image/*, audio/* e video/*; o backend aceita uma lista menor.</w:t>
            </w:r>
          </w:p>
        </w:tc>
        <w:tc>
          <w:tcPr>
            <w:tcW w:type="dxa" w:w="3515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Alinhar accept, mensagens e allowlist backend.</w:t>
            </w:r>
          </w:p>
        </w:tc>
      </w:tr>
      <w:tr>
        <w:tc>
          <w:tcPr>
            <w:tcW w:type="dxa" w:w="680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C-09</w:t>
            </w:r>
          </w:p>
        </w:tc>
        <w:tc>
          <w:tcPr>
            <w:tcW w:type="dxa" w:w="1020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  <w:shd w:val="clear" w:color="auto" w:fill="FFF2CC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Alto</w:t>
            </w:r>
          </w:p>
        </w:tc>
        <w:tc>
          <w:tcPr>
            <w:tcW w:type="dxa" w:w="4139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O protocolo é anunciado para acompanhamento, mas não existe consulta de protocolo.</w:t>
            </w:r>
          </w:p>
        </w:tc>
        <w:tc>
          <w:tcPr>
            <w:tcW w:type="dxa" w:w="3515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Retirar promessa ou definir serviço de acompanhamento.</w:t>
            </w:r>
          </w:p>
        </w:tc>
      </w:tr>
      <w:tr>
        <w:tc>
          <w:tcPr>
            <w:tcW w:type="dxa" w:w="680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C-10</w:t>
            </w:r>
          </w:p>
        </w:tc>
        <w:tc>
          <w:tcPr>
            <w:tcW w:type="dxa" w:w="1020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  <w:shd w:val="clear" w:color="auto" w:fill="EDEDED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Médio</w:t>
            </w:r>
          </w:p>
        </w:tc>
        <w:tc>
          <w:tcPr>
            <w:tcW w:type="dxa" w:w="4139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Vídeo explicativo, Ouvidoria e denúncia de órgão público são elementos visuais sem ação.</w:t>
            </w:r>
          </w:p>
        </w:tc>
        <w:tc>
          <w:tcPr>
            <w:tcW w:type="dxa" w:w="3515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Implementar destinos ou remover/desabilitar com explicação.</w:t>
            </w:r>
          </w:p>
        </w:tc>
      </w:tr>
      <w:tr>
        <w:tc>
          <w:tcPr>
            <w:tcW w:type="dxa" w:w="680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C-11</w:t>
            </w:r>
          </w:p>
        </w:tc>
        <w:tc>
          <w:tcPr>
            <w:tcW w:type="dxa" w:w="1020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  <w:shd w:val="clear" w:color="auto" w:fill="EDEDED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Médio</w:t>
            </w:r>
          </w:p>
        </w:tc>
        <w:tc>
          <w:tcPr>
            <w:tcW w:type="dxa" w:w="4139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O botão de acessibilidade não executa ação.</w:t>
            </w:r>
          </w:p>
        </w:tc>
        <w:tc>
          <w:tcPr>
            <w:tcW w:type="dxa" w:w="3515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Definir função ou remover o controle.</w:t>
            </w:r>
          </w:p>
        </w:tc>
      </w:tr>
      <w:tr>
        <w:tc>
          <w:tcPr>
            <w:tcW w:type="dxa" w:w="680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C-12</w:t>
            </w:r>
          </w:p>
        </w:tc>
        <w:tc>
          <w:tcPr>
            <w:tcW w:type="dxa" w:w="1020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  <w:shd w:val="clear" w:color="auto" w:fill="EDEDED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Médio</w:t>
            </w:r>
          </w:p>
        </w:tc>
        <w:tc>
          <w:tcPr>
            <w:tcW w:type="dxa" w:w="4139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README raiz indica porta 4200; scripts usam 4201.</w:t>
            </w:r>
          </w:p>
        </w:tc>
        <w:tc>
          <w:tcPr>
            <w:tcW w:type="dxa" w:w="3515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Atualizar documentação.</w:t>
            </w:r>
          </w:p>
        </w:tc>
      </w:tr>
      <w:tr>
        <w:tc>
          <w:tcPr>
            <w:tcW w:type="dxa" w:w="680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C-13</w:t>
            </w:r>
          </w:p>
        </w:tc>
        <w:tc>
          <w:tcPr>
            <w:tcW w:type="dxa" w:w="1020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  <w:shd w:val="clear" w:color="auto" w:fill="EDEDED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Médio</w:t>
            </w:r>
          </w:p>
        </w:tc>
        <w:tc>
          <w:tcPr>
            <w:tcW w:type="dxa" w:w="4139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planejamento/spec_design citam Angular 21; package usa Angular 22.</w:t>
            </w:r>
          </w:p>
        </w:tc>
        <w:tc>
          <w:tcPr>
            <w:tcW w:type="dxa" w:w="3515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Atualizar baseline documental.</w:t>
            </w:r>
          </w:p>
        </w:tc>
      </w:tr>
      <w:tr>
        <w:tc>
          <w:tcPr>
            <w:tcW w:type="dxa" w:w="680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C-14</w:t>
            </w:r>
          </w:p>
        </w:tc>
        <w:tc>
          <w:tcPr>
            <w:tcW w:type="dxa" w:w="1020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  <w:shd w:val="clear" w:color="auto" w:fill="EDEDED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Médio</w:t>
            </w:r>
          </w:p>
        </w:tc>
        <w:tc>
          <w:tcPr>
            <w:tcW w:type="dxa" w:w="4139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AGENTS.md diz memoryStorage; código usa diskStorage.</w:t>
            </w:r>
          </w:p>
        </w:tc>
        <w:tc>
          <w:tcPr>
            <w:tcW w:type="dxa" w:w="3515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Atualizar instruções do repositório.</w:t>
            </w:r>
          </w:p>
        </w:tc>
      </w:tr>
      <w:tr>
        <w:tc>
          <w:tcPr>
            <w:tcW w:type="dxa" w:w="680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C-15</w:t>
            </w:r>
          </w:p>
        </w:tc>
        <w:tc>
          <w:tcPr>
            <w:tcW w:type="dxa" w:w="1020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  <w:shd w:val="clear" w:color="auto" w:fill="EDEDED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Médio</w:t>
            </w:r>
          </w:p>
        </w:tc>
        <w:tc>
          <w:tcPr>
            <w:tcW w:type="dxa" w:w="4139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AGENTS.md ainda diz que o frontend simula sucesso; o comportamento foi corrigido.</w:t>
            </w:r>
          </w:p>
        </w:tc>
        <w:tc>
          <w:tcPr>
            <w:tcW w:type="dxa" w:w="3515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Atualizar pitfalls para evitar decisões erradas.</w:t>
            </w:r>
          </w:p>
        </w:tc>
      </w:tr>
      <w:tr>
        <w:tc>
          <w:tcPr>
            <w:tcW w:type="dxa" w:w="680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C-16</w:t>
            </w:r>
          </w:p>
        </w:tc>
        <w:tc>
          <w:tcPr>
            <w:tcW w:type="dxa" w:w="1020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  <w:shd w:val="clear" w:color="auto" w:fill="EDEDED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Médio</w:t>
            </w:r>
          </w:p>
        </w:tc>
        <w:tc>
          <w:tcPr>
            <w:tcW w:type="dxa" w:w="4139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server/README orienta copiar .env.example; o arquivo existente é env.template.</w:t>
            </w:r>
          </w:p>
        </w:tc>
        <w:tc>
          <w:tcPr>
            <w:tcW w:type="dxa" w:w="3515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Padronizar nome e instrução.</w:t>
            </w:r>
          </w:p>
        </w:tc>
      </w:tr>
      <w:tr>
        <w:tc>
          <w:tcPr>
            <w:tcW w:type="dxa" w:w="680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C-17</w:t>
            </w:r>
          </w:p>
        </w:tc>
        <w:tc>
          <w:tcPr>
            <w:tcW w:type="dxa" w:w="1020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  <w:shd w:val="clear" w:color="auto" w:fill="EDEDED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Médio</w:t>
            </w:r>
          </w:p>
        </w:tc>
        <w:tc>
          <w:tcPr>
            <w:tcW w:type="dxa" w:w="4139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Swagger descreve 503 só por configuração MPT; 503 também ocorre por ClamAV.</w:t>
            </w:r>
          </w:p>
        </w:tc>
        <w:tc>
          <w:tcPr>
            <w:tcW w:type="dxa" w:w="3515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Atualizar contrato OpenAPI.</w:t>
            </w:r>
          </w:p>
        </w:tc>
      </w:tr>
      <w:tr>
        <w:tc>
          <w:tcPr>
            <w:tcW w:type="dxa" w:w="680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C-18</w:t>
            </w:r>
          </w:p>
        </w:tc>
        <w:tc>
          <w:tcPr>
            <w:tcW w:type="dxa" w:w="1020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  <w:shd w:val="clear" w:color="auto" w:fill="EDEDED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Médio</w:t>
            </w:r>
          </w:p>
        </w:tc>
        <w:tc>
          <w:tcPr>
            <w:tcW w:type="dxa" w:w="4139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A navegação do stepper permite pular etapas sem critério de conclusão.</w:t>
            </w:r>
          </w:p>
        </w:tc>
        <w:tc>
          <w:tcPr>
            <w:tcW w:type="dxa" w:w="3515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Definir liberdade de navegação versus bloqueio por validação.</w:t>
            </w:r>
          </w:p>
        </w:tc>
      </w:tr>
      <w:tr>
        <w:tc>
          <w:tcPr>
            <w:tcW w:type="dxa" w:w="680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C-19</w:t>
            </w:r>
          </w:p>
        </w:tc>
        <w:tc>
          <w:tcPr>
            <w:tcW w:type="dxa" w:w="1020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  <w:shd w:val="clear" w:color="auto" w:fill="EDEDED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Médio</w:t>
            </w:r>
          </w:p>
        </w:tc>
        <w:tc>
          <w:tcPr>
            <w:tcW w:type="dxa" w:w="4139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A promessa de anonimato total convive com logs HTTP por IP e rate limit por IP.</w:t>
            </w:r>
          </w:p>
        </w:tc>
        <w:tc>
          <w:tcPr>
            <w:tcW w:type="dxa" w:w="3515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Definir anonimato perante o processo, infraestrutura e política de logs.</w:t>
            </w:r>
          </w:p>
        </w:tc>
      </w:tr>
    </w:tbl>
    <w:p>
      <w:pPr>
        <w:spacing w:after="120" w:before="240"/>
        <w:jc w:val="left"/>
        <w:pBdr>
          <w:bottom w:val="single" w:sz="8" w:space="1" w:color="17335C"/>
        </w:pBdr>
      </w:pPr>
      <w:r>
        <w:rPr>
          <w:rFonts w:ascii="Calibri" w:hAnsi="Calibri"/>
          <w:b/>
          <w:color w:val="17335C"/>
          <w:sz w:val="40"/>
        </w:rPr>
        <w:t>8. Lacunas e backlog de decisão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rPr>
          <w:tblHeader w:val="true"/>
        </w:trPr>
        <w:tc>
          <w:tcPr>
            <w:tcW w:type="dxa" w:w="680"/>
            <w:vAlign w:val="center"/>
            <w:shd w:val="clear" w:color="auto" w:fill="17335C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964"/>
            <w:vAlign w:val="center"/>
            <w:shd w:val="clear" w:color="auto" w:fill="17335C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Prioridade</w:t>
            </w:r>
          </w:p>
        </w:tc>
        <w:tc>
          <w:tcPr>
            <w:tcW w:type="dxa" w:w="5783"/>
            <w:vAlign w:val="center"/>
            <w:shd w:val="clear" w:color="auto" w:fill="17335C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Lacuna/decisão</w:t>
            </w:r>
          </w:p>
        </w:tc>
        <w:tc>
          <w:tcPr>
            <w:tcW w:type="dxa" w:w="1928"/>
            <w:vAlign w:val="center"/>
            <w:shd w:val="clear" w:color="auto" w:fill="17335C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Área</w:t>
            </w:r>
          </w:p>
        </w:tc>
      </w:tr>
      <w:tr>
        <w:tc>
          <w:tcPr>
            <w:tcW w:type="dxa" w:w="680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L-01</w:t>
            </w:r>
          </w:p>
        </w:tc>
        <w:tc>
          <w:tcPr>
            <w:tcW w:type="dxa" w:w="964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  <w:shd w:val="clear" w:color="auto" w:fill="F4CCCC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P0</w:t>
            </w:r>
          </w:p>
        </w:tc>
        <w:tc>
          <w:tcPr>
            <w:tcW w:type="dxa" w:w="5783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Validar assinatura/magic bytes dos arquivos.</w:t>
            </w:r>
          </w:p>
        </w:tc>
        <w:tc>
          <w:tcPr>
            <w:tcW w:type="dxa" w:w="1928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Segurança de upload</w:t>
            </w:r>
          </w:p>
        </w:tc>
      </w:tr>
      <w:tr>
        <w:tc>
          <w:tcPr>
            <w:tcW w:type="dxa" w:w="680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L-02</w:t>
            </w:r>
          </w:p>
        </w:tc>
        <w:tc>
          <w:tcPr>
            <w:tcW w:type="dxa" w:w="964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  <w:shd w:val="clear" w:color="auto" w:fill="F4CCCC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P0</w:t>
            </w:r>
          </w:p>
        </w:tc>
        <w:tc>
          <w:tcPr>
            <w:tcW w:type="dxa" w:w="5783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Criar readiness para Redis e ClamAV, separado do health.</w:t>
            </w:r>
          </w:p>
        </w:tc>
        <w:tc>
          <w:tcPr>
            <w:tcW w:type="dxa" w:w="1928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Disponibilidade</w:t>
            </w:r>
          </w:p>
        </w:tc>
      </w:tr>
      <w:tr>
        <w:tc>
          <w:tcPr>
            <w:tcW w:type="dxa" w:w="680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L-03</w:t>
            </w:r>
          </w:p>
        </w:tc>
        <w:tc>
          <w:tcPr>
            <w:tcW w:type="dxa" w:w="964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  <w:shd w:val="clear" w:color="auto" w:fill="F4CCCC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P0</w:t>
            </w:r>
          </w:p>
        </w:tc>
        <w:tc>
          <w:tcPr>
            <w:tcW w:type="dxa" w:w="5783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Definir e corrigir tratamento de PII ao alternar para anônimo.</w:t>
            </w:r>
          </w:p>
        </w:tc>
        <w:tc>
          <w:tcPr>
            <w:tcW w:type="dxa" w:w="1928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Privacidade</w:t>
            </w:r>
          </w:p>
        </w:tc>
      </w:tr>
      <w:tr>
        <w:tc>
          <w:tcPr>
            <w:tcW w:type="dxa" w:w="680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L-04</w:t>
            </w:r>
          </w:p>
        </w:tc>
        <w:tc>
          <w:tcPr>
            <w:tcW w:type="dxa" w:w="964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  <w:shd w:val="clear" w:color="auto" w:fill="F4CCCC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P0</w:t>
            </w:r>
          </w:p>
        </w:tc>
        <w:tc>
          <w:tcPr>
            <w:tcW w:type="dxa" w:w="5783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Definir significado e regra de sigilo para denúncia identificada.</w:t>
            </w:r>
          </w:p>
        </w:tc>
        <w:tc>
          <w:tcPr>
            <w:tcW w:type="dxa" w:w="1928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Negócio/jurídico</w:t>
            </w:r>
          </w:p>
        </w:tc>
      </w:tr>
      <w:tr>
        <w:tc>
          <w:tcPr>
            <w:tcW w:type="dxa" w:w="680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L-05</w:t>
            </w:r>
          </w:p>
        </w:tc>
        <w:tc>
          <w:tcPr>
            <w:tcW w:type="dxa" w:w="964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  <w:shd w:val="clear" w:color="auto" w:fill="F4CCCC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P0</w:t>
            </w:r>
          </w:p>
        </w:tc>
        <w:tc>
          <w:tcPr>
            <w:tcW w:type="dxa" w:w="5783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Fechar contrato do áudio: captura, anonimização, transcrição, envio e retenção.</w:t>
            </w:r>
          </w:p>
        </w:tc>
        <w:tc>
          <w:tcPr>
            <w:tcW w:type="dxa" w:w="1928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Funcional/privacidade</w:t>
            </w:r>
          </w:p>
        </w:tc>
      </w:tr>
      <w:tr>
        <w:tc>
          <w:tcPr>
            <w:tcW w:type="dxa" w:w="680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L-06</w:t>
            </w:r>
          </w:p>
        </w:tc>
        <w:tc>
          <w:tcPr>
            <w:tcW w:type="dxa" w:w="964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  <w:shd w:val="clear" w:color="auto" w:fill="FFF2CC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P1</w:t>
            </w:r>
          </w:p>
        </w:tc>
        <w:tc>
          <w:tcPr>
            <w:tcW w:type="dxa" w:w="5783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Definir campos obrigatórios por perfil e aplicar validação frontend/backend.</w:t>
            </w:r>
          </w:p>
        </w:tc>
        <w:tc>
          <w:tcPr>
            <w:tcW w:type="dxa" w:w="1928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Negócio</w:t>
            </w:r>
          </w:p>
        </w:tc>
      </w:tr>
      <w:tr>
        <w:tc>
          <w:tcPr>
            <w:tcW w:type="dxa" w:w="680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L-07</w:t>
            </w:r>
          </w:p>
        </w:tc>
        <w:tc>
          <w:tcPr>
            <w:tcW w:type="dxa" w:w="964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  <w:shd w:val="clear" w:color="auto" w:fill="FFF2CC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P1</w:t>
            </w:r>
          </w:p>
        </w:tc>
        <w:tc>
          <w:tcPr>
            <w:tcW w:type="dxa" w:w="5783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Definir idempotência e tratamento de resposta perdida/duplicidade.</w:t>
            </w:r>
          </w:p>
        </w:tc>
        <w:tc>
          <w:tcPr>
            <w:tcW w:type="dxa" w:w="1928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Integração</w:t>
            </w:r>
          </w:p>
        </w:tc>
      </w:tr>
      <w:tr>
        <w:tc>
          <w:tcPr>
            <w:tcW w:type="dxa" w:w="680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L-08</w:t>
            </w:r>
          </w:p>
        </w:tc>
        <w:tc>
          <w:tcPr>
            <w:tcW w:type="dxa" w:w="964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  <w:shd w:val="clear" w:color="auto" w:fill="FFF2CC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P1</w:t>
            </w:r>
          </w:p>
        </w:tc>
        <w:tc>
          <w:tcPr>
            <w:tcW w:type="dxa" w:w="5783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Alinhar tipos, quantidade, tamanho por arquivo e tamanho total dos anexos.</w:t>
            </w:r>
          </w:p>
        </w:tc>
        <w:tc>
          <w:tcPr>
            <w:tcW w:type="dxa" w:w="1928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Operação</w:t>
            </w:r>
          </w:p>
        </w:tc>
      </w:tr>
      <w:tr>
        <w:tc>
          <w:tcPr>
            <w:tcW w:type="dxa" w:w="680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L-09</w:t>
            </w:r>
          </w:p>
        </w:tc>
        <w:tc>
          <w:tcPr>
            <w:tcW w:type="dxa" w:w="964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  <w:shd w:val="clear" w:color="auto" w:fill="FFF2CC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P1</w:t>
            </w:r>
          </w:p>
        </w:tc>
        <w:tc>
          <w:tcPr>
            <w:tcW w:type="dxa" w:w="5783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Homologar Redis e ClamAV reais e executar carga de 100 uploads simultâneos.</w:t>
            </w:r>
          </w:p>
        </w:tc>
        <w:tc>
          <w:tcPr>
            <w:tcW w:type="dxa" w:w="1928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Infraestrutura</w:t>
            </w:r>
          </w:p>
        </w:tc>
      </w:tr>
      <w:tr>
        <w:tc>
          <w:tcPr>
            <w:tcW w:type="dxa" w:w="680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L-10</w:t>
            </w:r>
          </w:p>
        </w:tc>
        <w:tc>
          <w:tcPr>
            <w:tcW w:type="dxa" w:w="964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  <w:shd w:val="clear" w:color="auto" w:fill="FFF2CC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P1</w:t>
            </w:r>
          </w:p>
        </w:tc>
        <w:tc>
          <w:tcPr>
            <w:tcW w:type="dxa" w:w="5783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Definir acompanhamento por protocolo e comprovante.</w:t>
            </w:r>
          </w:p>
        </w:tc>
        <w:tc>
          <w:tcPr>
            <w:tcW w:type="dxa" w:w="1928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Pós-envio</w:t>
            </w:r>
          </w:p>
        </w:tc>
      </w:tr>
      <w:tr>
        <w:tc>
          <w:tcPr>
            <w:tcW w:type="dxa" w:w="680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L-11</w:t>
            </w:r>
          </w:p>
        </w:tc>
        <w:tc>
          <w:tcPr>
            <w:tcW w:type="dxa" w:w="964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  <w:shd w:val="clear" w:color="auto" w:fill="FFF2CC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P1</w:t>
            </w:r>
          </w:p>
        </w:tc>
        <w:tc>
          <w:tcPr>
            <w:tcW w:type="dxa" w:w="5783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Formalizar base legal, aviso de privacidade, retenção e direitos LGPD.</w:t>
            </w:r>
          </w:p>
        </w:tc>
        <w:tc>
          <w:tcPr>
            <w:tcW w:type="dxa" w:w="1928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Jurídico</w:t>
            </w:r>
          </w:p>
        </w:tc>
      </w:tr>
      <w:tr>
        <w:tc>
          <w:tcPr>
            <w:tcW w:type="dxa" w:w="680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L-12</w:t>
            </w:r>
          </w:p>
        </w:tc>
        <w:tc>
          <w:tcPr>
            <w:tcW w:type="dxa" w:w="964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  <w:shd w:val="clear" w:color="auto" w:fill="FFF2CC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P1</w:t>
            </w:r>
          </w:p>
        </w:tc>
        <w:tc>
          <w:tcPr>
            <w:tcW w:type="dxa" w:w="5783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Definir SLO 99,5%, SLIs, alertas e orçamento de erro.</w:t>
            </w:r>
          </w:p>
        </w:tc>
        <w:tc>
          <w:tcPr>
            <w:tcW w:type="dxa" w:w="1928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Operação</w:t>
            </w:r>
          </w:p>
        </w:tc>
      </w:tr>
      <w:tr>
        <w:tc>
          <w:tcPr>
            <w:tcW w:type="dxa" w:w="680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L-13</w:t>
            </w:r>
          </w:p>
        </w:tc>
        <w:tc>
          <w:tcPr>
            <w:tcW w:type="dxa" w:w="964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  <w:shd w:val="clear" w:color="auto" w:fill="FFF2CC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P1</w:t>
            </w:r>
          </w:p>
        </w:tc>
        <w:tc>
          <w:tcPr>
            <w:tcW w:type="dxa" w:w="5783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Adicionar correlation ID, métricas e política de logs por 10 dias.</w:t>
            </w:r>
          </w:p>
        </w:tc>
        <w:tc>
          <w:tcPr>
            <w:tcW w:type="dxa" w:w="1928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Observabilidade</w:t>
            </w:r>
          </w:p>
        </w:tc>
      </w:tr>
      <w:tr>
        <w:tc>
          <w:tcPr>
            <w:tcW w:type="dxa" w:w="680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L-14</w:t>
            </w:r>
          </w:p>
        </w:tc>
        <w:tc>
          <w:tcPr>
            <w:tcW w:type="dxa" w:w="964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  <w:shd w:val="clear" w:color="auto" w:fill="FFF2CC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P1</w:t>
            </w:r>
          </w:p>
        </w:tc>
        <w:tc>
          <w:tcPr>
            <w:tcW w:type="dxa" w:w="5783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Homologar Safari real e executar avaliação manual de acessibilidade/eMAG.</w:t>
            </w:r>
          </w:p>
        </w:tc>
        <w:tc>
          <w:tcPr>
            <w:tcW w:type="dxa" w:w="1928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Qualidade</w:t>
            </w:r>
          </w:p>
        </w:tc>
      </w:tr>
      <w:tr>
        <w:tc>
          <w:tcPr>
            <w:tcW w:type="dxa" w:w="680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L-15</w:t>
            </w:r>
          </w:p>
        </w:tc>
        <w:tc>
          <w:tcPr>
            <w:tcW w:type="dxa" w:w="964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  <w:shd w:val="clear" w:color="auto" w:fill="FFF2CC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P1</w:t>
            </w:r>
          </w:p>
        </w:tc>
        <w:tc>
          <w:tcPr>
            <w:tcW w:type="dxa" w:w="5783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Criar definição de implantação, secrets, probes e rollback.</w:t>
            </w:r>
          </w:p>
        </w:tc>
        <w:tc>
          <w:tcPr>
            <w:tcW w:type="dxa" w:w="1928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DevOps</w:t>
            </w:r>
          </w:p>
        </w:tc>
      </w:tr>
      <w:tr>
        <w:tc>
          <w:tcPr>
            <w:tcW w:type="dxa" w:w="680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L-16</w:t>
            </w:r>
          </w:p>
        </w:tc>
        <w:tc>
          <w:tcPr>
            <w:tcW w:type="dxa" w:w="964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  <w:shd w:val="clear" w:color="auto" w:fill="E2F0D9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P2</w:t>
            </w:r>
          </w:p>
        </w:tc>
        <w:tc>
          <w:tcPr>
            <w:tcW w:type="dxa" w:w="5783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Definir persistência de rascunho e comportamento ao recarregar a página.</w:t>
            </w:r>
          </w:p>
        </w:tc>
        <w:tc>
          <w:tcPr>
            <w:tcW w:type="dxa" w:w="1928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UX</w:t>
            </w:r>
          </w:p>
        </w:tc>
      </w:tr>
      <w:tr>
        <w:tc>
          <w:tcPr>
            <w:tcW w:type="dxa" w:w="680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L-17</w:t>
            </w:r>
          </w:p>
        </w:tc>
        <w:tc>
          <w:tcPr>
            <w:tcW w:type="dxa" w:w="964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  <w:shd w:val="clear" w:color="auto" w:fill="E2F0D9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P2</w:t>
            </w:r>
          </w:p>
        </w:tc>
        <w:tc>
          <w:tcPr>
            <w:tcW w:type="dxa" w:w="5783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Definir timeout/cancelamento no frontend e mensagens específicas por erro.</w:t>
            </w:r>
          </w:p>
        </w:tc>
        <w:tc>
          <w:tcPr>
            <w:tcW w:type="dxa" w:w="1928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Robustez</w:t>
            </w:r>
          </w:p>
        </w:tc>
      </w:tr>
      <w:tr>
        <w:tc>
          <w:tcPr>
            <w:tcW w:type="dxa" w:w="680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L-18</w:t>
            </w:r>
          </w:p>
        </w:tc>
        <w:tc>
          <w:tcPr>
            <w:tcW w:type="dxa" w:w="964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  <w:shd w:val="clear" w:color="auto" w:fill="E2F0D9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P2</w:t>
            </w:r>
          </w:p>
        </w:tc>
        <w:tc>
          <w:tcPr>
            <w:tcW w:type="dxa" w:w="5783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Definir antibot/WAF somente conforme ameaça e política de acesso público.</w:t>
            </w:r>
          </w:p>
        </w:tc>
        <w:tc>
          <w:tcPr>
            <w:tcW w:type="dxa" w:w="1928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Segurança</w:t>
            </w:r>
          </w:p>
        </w:tc>
      </w:tr>
      <w:tr>
        <w:tc>
          <w:tcPr>
            <w:tcW w:type="dxa" w:w="680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L-19</w:t>
            </w:r>
          </w:p>
        </w:tc>
        <w:tc>
          <w:tcPr>
            <w:tcW w:type="dxa" w:w="964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  <w:shd w:val="clear" w:color="auto" w:fill="E2F0D9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P2</w:t>
            </w:r>
          </w:p>
        </w:tc>
        <w:tc>
          <w:tcPr>
            <w:tcW w:type="dxa" w:w="5783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Definir rotina de limpeza de temporários órfãos após crash.</w:t>
            </w:r>
          </w:p>
        </w:tc>
        <w:tc>
          <w:tcPr>
            <w:tcW w:type="dxa" w:w="1928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Operação</w:t>
            </w:r>
          </w:p>
        </w:tc>
      </w:tr>
      <w:tr>
        <w:tc>
          <w:tcPr>
            <w:tcW w:type="dxa" w:w="680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L-20</w:t>
            </w:r>
          </w:p>
        </w:tc>
        <w:tc>
          <w:tcPr>
            <w:tcW w:type="dxa" w:w="964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  <w:shd w:val="clear" w:color="auto" w:fill="E2F0D9"/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P2</w:t>
            </w:r>
          </w:p>
        </w:tc>
        <w:tc>
          <w:tcPr>
            <w:tcW w:type="dxa" w:w="5783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Corrigir documentação desatualizada e completar OpenAPI.</w:t>
            </w:r>
          </w:p>
        </w:tc>
        <w:tc>
          <w:tcPr>
            <w:tcW w:type="dxa" w:w="1928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Governança</w:t>
            </w:r>
          </w:p>
        </w:tc>
      </w:tr>
    </w:tbl>
    <w:p>
      <w:pPr>
        <w:spacing w:after="120" w:before="240"/>
        <w:jc w:val="left"/>
        <w:pBdr>
          <w:bottom w:val="single" w:sz="8" w:space="1" w:color="17335C"/>
        </w:pBdr>
      </w:pPr>
      <w:r>
        <w:rPr>
          <w:rFonts w:ascii="Calibri" w:hAnsi="Calibri"/>
          <w:b/>
          <w:color w:val="17335C"/>
          <w:sz w:val="40"/>
        </w:rPr>
        <w:t>9. Critérios mínimos para produção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268"/>
            <w:vAlign w:val="center"/>
            <w:shd w:val="clear" w:color="auto" w:fill="17335C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Dimensão</w:t>
            </w:r>
          </w:p>
        </w:tc>
        <w:tc>
          <w:tcPr>
            <w:tcW w:type="dxa" w:w="7087"/>
            <w:vAlign w:val="center"/>
            <w:shd w:val="clear" w:color="auto" w:fill="17335C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Critério de saída</w:t>
            </w:r>
          </w:p>
        </w:tc>
      </w:tr>
      <w:tr>
        <w:tc>
          <w:tcPr>
            <w:tcW w:type="dxa" w:w="2268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Negócio</w:t>
            </w:r>
          </w:p>
        </w:tc>
        <w:tc>
          <w:tcPr>
            <w:tcW w:type="dxa" w:w="7087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P0 respondidos e RF/RN aprovados por dono identificado.</w:t>
            </w:r>
          </w:p>
        </w:tc>
      </w:tr>
      <w:tr>
        <w:tc>
          <w:tcPr>
            <w:tcW w:type="dxa" w:w="2268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Privacidade</w:t>
            </w:r>
          </w:p>
        </w:tc>
        <w:tc>
          <w:tcPr>
            <w:tcW w:type="dxa" w:w="7087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Regra de anonimato/sigilo, PII, aviso e retenção formalmente aprovada.</w:t>
            </w:r>
          </w:p>
        </w:tc>
      </w:tr>
      <w:tr>
        <w:tc>
          <w:tcPr>
            <w:tcW w:type="dxa" w:w="2268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Upload</w:t>
            </w:r>
          </w:p>
        </w:tc>
        <w:tc>
          <w:tcPr>
            <w:tcW w:type="dxa" w:w="7087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Magic bytes, ClamAV real, política de infecção e temporários validados.</w:t>
            </w:r>
          </w:p>
        </w:tc>
      </w:tr>
      <w:tr>
        <w:tc>
          <w:tcPr>
            <w:tcW w:type="dxa" w:w="2268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Integração</w:t>
            </w:r>
          </w:p>
        </w:tc>
        <w:tc>
          <w:tcPr>
            <w:tcW w:type="dxa" w:w="7087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API MPT real homologada, idempotência decidida e falhas testadas.</w:t>
            </w:r>
          </w:p>
        </w:tc>
      </w:tr>
      <w:tr>
        <w:tc>
          <w:tcPr>
            <w:tcW w:type="dxa" w:w="2268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Disponibilidade</w:t>
            </w:r>
          </w:p>
        </w:tc>
        <w:tc>
          <w:tcPr>
            <w:tcW w:type="dxa" w:w="7087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/health e /ready separados; 99,5% formalizado com alertas.</w:t>
            </w:r>
          </w:p>
        </w:tc>
      </w:tr>
      <w:tr>
        <w:tc>
          <w:tcPr>
            <w:tcW w:type="dxa" w:w="2268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Carga</w:t>
            </w:r>
          </w:p>
        </w:tc>
        <w:tc>
          <w:tcPr>
            <w:tcW w:type="dxa" w:w="7087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100 uploads simultâneos sem OOM/restart, temporário órfão ou bypass de scanner.</w:t>
            </w:r>
          </w:p>
        </w:tc>
      </w:tr>
      <w:tr>
        <w:tc>
          <w:tcPr>
            <w:tcW w:type="dxa" w:w="2268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Qualidade</w:t>
            </w:r>
          </w:p>
        </w:tc>
        <w:tc>
          <w:tcPr>
            <w:tcW w:type="dxa" w:w="7087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Suítes aprovadas, Safari real, acessibilidade manual/eMAG conforme decisão.</w:t>
            </w:r>
          </w:p>
        </w:tc>
      </w:tr>
      <w:tr>
        <w:tc>
          <w:tcPr>
            <w:tcW w:type="dxa" w:w="2268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Operação</w:t>
            </w:r>
          </w:p>
        </w:tc>
        <w:tc>
          <w:tcPr>
            <w:tcW w:type="dxa" w:w="7087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3 réplicas, Redis/ClamAV privados, secrets, logs 10 dias, rollback e runbook.</w:t>
            </w:r>
          </w:p>
        </w:tc>
      </w:tr>
      <w:tr>
        <w:tc>
          <w:tcPr>
            <w:tcW w:type="dxa" w:w="2268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Aceite</w:t>
            </w:r>
          </w:p>
        </w:tc>
        <w:tc>
          <w:tcPr>
            <w:tcW w:type="dxa" w:w="7087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Homologação assinada por negócio, usuários, segurança/privacidade e operação.</w:t>
            </w:r>
          </w:p>
        </w:tc>
      </w:tr>
    </w:tbl>
    <w:p>
      <w:r>
        <w:br w:type="page"/>
      </w:r>
    </w:p>
    <w:p>
      <w:pPr>
        <w:spacing w:after="120" w:before="240"/>
        <w:jc w:val="left"/>
        <w:pBdr>
          <w:bottom w:val="single" w:sz="8" w:space="1" w:color="17335C"/>
        </w:pBdr>
      </w:pPr>
      <w:r>
        <w:rPr>
          <w:rFonts w:ascii="Calibri" w:hAnsi="Calibri"/>
          <w:b/>
          <w:color w:val="17335C"/>
          <w:sz w:val="40"/>
        </w:rPr>
        <w:t>10. Questionário para levantamento e validação</w:t>
      </w:r>
    </w:p>
    <w:p>
      <w:pPr>
        <w:spacing w:after="120" w:before="0"/>
        <w:jc w:val="both"/>
      </w:pPr>
      <w:r>
        <w:rPr>
          <w:rFonts w:ascii="Calibri" w:hAnsi="Calibri"/>
          <w:b w:val="0"/>
          <w:sz w:val="22"/>
        </w:rPr>
        <w:t>Orientação: registrar para cada resposta o decisor, a data, a regra aprovada, o critério de aceite e o impacto em telas, payload, backend, API MPT e operação. Perguntas P0 são bloqueadoras; P1 devem ser fechadas antes da produção; P2 podem compor roadmap.</w:t>
      </w:r>
    </w:p>
    <w:p>
      <w:pPr>
        <w:spacing w:after="120" w:before="240"/>
        <w:jc w:val="left"/>
      </w:pPr>
      <w:r>
        <w:rPr>
          <w:rFonts w:ascii="Calibri" w:hAnsi="Calibri"/>
          <w:b/>
          <w:color w:val="0C6E64"/>
          <w:sz w:val="30"/>
        </w:rPr>
        <w:t>A. Usuários e objetivo do serviço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1814"/>
            <w:vAlign w:val="center"/>
            <w:shd w:val="clear" w:color="auto" w:fill="17335C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Público principal</w:t>
            </w:r>
          </w:p>
        </w:tc>
        <w:tc>
          <w:tcPr>
            <w:tcW w:type="dxa" w:w="1020"/>
            <w:vAlign w:val="center"/>
            <w:shd w:val="clear" w:color="auto" w:fill="17335C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Prioridade</w:t>
            </w:r>
          </w:p>
        </w:tc>
        <w:tc>
          <w:tcPr>
            <w:tcW w:type="dxa" w:w="6520"/>
            <w:vAlign w:val="center"/>
            <w:shd w:val="clear" w:color="auto" w:fill="17335C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Pergunta</w:t>
            </w:r>
          </w:p>
        </w:tc>
      </w:tr>
      <w:tr>
        <w:tc>
          <w:tcPr>
            <w:tcW w:type="dxa" w:w="1814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Negócio/Requisitante</w:t>
            </w:r>
          </w:p>
        </w:tc>
        <w:tc>
          <w:tcPr>
            <w:tcW w:type="dxa" w:w="1020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P0</w:t>
            </w:r>
          </w:p>
        </w:tc>
        <w:tc>
          <w:tcPr>
            <w:tcW w:type="dxa" w:w="6520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Quem pode denunciar: cidadão, trabalhador, sindicato, advogado, servidor ou todos?</w:t>
            </w:r>
          </w:p>
        </w:tc>
      </w:tr>
      <w:tr>
        <w:tc>
          <w:tcPr>
            <w:tcW w:type="dxa" w:w="1814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Negócio</w:t>
            </w:r>
          </w:p>
        </w:tc>
        <w:tc>
          <w:tcPr>
            <w:tcW w:type="dxa" w:w="1020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P0</w:t>
            </w:r>
          </w:p>
        </w:tc>
        <w:tc>
          <w:tcPr>
            <w:tcW w:type="dxa" w:w="6520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Quais tipos de manifestação pertencem a este canal e quais devem ser redirecionados?</w:t>
            </w:r>
          </w:p>
        </w:tc>
      </w:tr>
      <w:tr>
        <w:tc>
          <w:tcPr>
            <w:tcW w:type="dxa" w:w="1814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Usuários</w:t>
            </w:r>
          </w:p>
        </w:tc>
        <w:tc>
          <w:tcPr>
            <w:tcW w:type="dxa" w:w="1020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P1</w:t>
            </w:r>
          </w:p>
        </w:tc>
        <w:tc>
          <w:tcPr>
            <w:tcW w:type="dxa" w:w="6520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Quais situações mais comuns motivam uma denúncia e quais informações as pessoas normalmente conhecem?</w:t>
            </w:r>
          </w:p>
        </w:tc>
      </w:tr>
      <w:tr>
        <w:tc>
          <w:tcPr>
            <w:tcW w:type="dxa" w:w="1814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Requisitante</w:t>
            </w:r>
          </w:p>
        </w:tc>
        <w:tc>
          <w:tcPr>
            <w:tcW w:type="dxa" w:w="1020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P1</w:t>
            </w:r>
          </w:p>
        </w:tc>
        <w:tc>
          <w:tcPr>
            <w:tcW w:type="dxa" w:w="6520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A denúncia de órgão público é outro fluxo, outra API ou apenas um link externo?</w:t>
            </w:r>
          </w:p>
        </w:tc>
      </w:tr>
      <w:tr>
        <w:tc>
          <w:tcPr>
            <w:tcW w:type="dxa" w:w="1814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Requisitante</w:t>
            </w:r>
          </w:p>
        </w:tc>
        <w:tc>
          <w:tcPr>
            <w:tcW w:type="dxa" w:w="1020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P1</w:t>
            </w:r>
          </w:p>
        </w:tc>
        <w:tc>
          <w:tcPr>
            <w:tcW w:type="dxa" w:w="6520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Qual destino correto do card da Ouvidoria?</w:t>
            </w:r>
          </w:p>
        </w:tc>
      </w:tr>
      <w:tr>
        <w:tc>
          <w:tcPr>
            <w:tcW w:type="dxa" w:w="1814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Usuários</w:t>
            </w:r>
          </w:p>
        </w:tc>
        <w:tc>
          <w:tcPr>
            <w:tcW w:type="dxa" w:w="1020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P2</w:t>
            </w:r>
          </w:p>
        </w:tc>
        <w:tc>
          <w:tcPr>
            <w:tcW w:type="dxa" w:w="6520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O vídeo explicativo é necessário? Qual conteúdo, duração, Libras e legenda?</w:t>
            </w:r>
          </w:p>
        </w:tc>
      </w:tr>
    </w:tbl>
    <w:p>
      <w:pPr>
        <w:spacing w:after="120" w:before="240"/>
        <w:jc w:val="left"/>
      </w:pPr>
      <w:r>
        <w:rPr>
          <w:rFonts w:ascii="Calibri" w:hAnsi="Calibri"/>
          <w:b/>
          <w:color w:val="0C6E64"/>
          <w:sz w:val="30"/>
        </w:rPr>
        <w:t>B. Jornada e obrigatoriedade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1814"/>
            <w:vAlign w:val="center"/>
            <w:shd w:val="clear" w:color="auto" w:fill="17335C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Público principal</w:t>
            </w:r>
          </w:p>
        </w:tc>
        <w:tc>
          <w:tcPr>
            <w:tcW w:type="dxa" w:w="1020"/>
            <w:vAlign w:val="center"/>
            <w:shd w:val="clear" w:color="auto" w:fill="17335C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Prioridade</w:t>
            </w:r>
          </w:p>
        </w:tc>
        <w:tc>
          <w:tcPr>
            <w:tcW w:type="dxa" w:w="6520"/>
            <w:vAlign w:val="center"/>
            <w:shd w:val="clear" w:color="auto" w:fill="17335C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Pergunta</w:t>
            </w:r>
          </w:p>
        </w:tc>
      </w:tr>
      <w:tr>
        <w:tc>
          <w:tcPr>
            <w:tcW w:type="dxa" w:w="1814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Analista de negócio</w:t>
            </w:r>
          </w:p>
        </w:tc>
        <w:tc>
          <w:tcPr>
            <w:tcW w:type="dxa" w:w="1020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P0</w:t>
            </w:r>
          </w:p>
        </w:tc>
        <w:tc>
          <w:tcPr>
            <w:tcW w:type="dxa" w:w="6520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Quais campos são obrigatórios em cada etapa e sob quais condições?</w:t>
            </w:r>
          </w:p>
        </w:tc>
      </w:tr>
      <w:tr>
        <w:tc>
          <w:tcPr>
            <w:tcW w:type="dxa" w:w="1814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Negócio</w:t>
            </w:r>
          </w:p>
        </w:tc>
        <w:tc>
          <w:tcPr>
            <w:tcW w:type="dxa" w:w="1020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P0</w:t>
            </w:r>
          </w:p>
        </w:tc>
        <w:tc>
          <w:tcPr>
            <w:tcW w:type="dxa" w:w="6520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UF e município sempre são obrigatórios, inclusive para fatos online ou sem local conhecido?</w:t>
            </w:r>
          </w:p>
        </w:tc>
      </w:tr>
      <w:tr>
        <w:tc>
          <w:tcPr>
            <w:tcW w:type="dxa" w:w="1814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Negócio</w:t>
            </w:r>
          </w:p>
        </w:tc>
        <w:tc>
          <w:tcPr>
            <w:tcW w:type="dxa" w:w="1020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P1</w:t>
            </w:r>
          </w:p>
        </w:tc>
        <w:tc>
          <w:tcPr>
            <w:tcW w:type="dxa" w:w="6520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Período, modalidade, número de prejudicados e funções são opcionais ou necessários à triagem?</w:t>
            </w:r>
          </w:p>
        </w:tc>
      </w:tr>
      <w:tr>
        <w:tc>
          <w:tcPr>
            <w:tcW w:type="dxa" w:w="1814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Usuários</w:t>
            </w:r>
          </w:p>
        </w:tc>
        <w:tc>
          <w:tcPr>
            <w:tcW w:type="dxa" w:w="1020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P1</w:t>
            </w:r>
          </w:p>
        </w:tc>
        <w:tc>
          <w:tcPr>
            <w:tcW w:type="dxa" w:w="6520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A navegação deve bloquear avanço ou permitir preenchimento livre e validar apenas no envio?</w:t>
            </w:r>
          </w:p>
        </w:tc>
      </w:tr>
      <w:tr>
        <w:tc>
          <w:tcPr>
            <w:tcW w:type="dxa" w:w="1814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Negócio</w:t>
            </w:r>
          </w:p>
        </w:tc>
        <w:tc>
          <w:tcPr>
            <w:tcW w:type="dxa" w:w="1020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P1</w:t>
            </w:r>
          </w:p>
        </w:tc>
        <w:tc>
          <w:tcPr>
            <w:tcW w:type="dxa" w:w="6520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Ao marcar “Outros”, deve ser obrigatório descrever a irregularidade?</w:t>
            </w:r>
          </w:p>
        </w:tc>
      </w:tr>
      <w:tr>
        <w:tc>
          <w:tcPr>
            <w:tcW w:type="dxa" w:w="1814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Analista de negócio</w:t>
            </w:r>
          </w:p>
        </w:tc>
        <w:tc>
          <w:tcPr>
            <w:tcW w:type="dxa" w:w="1020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P1</w:t>
            </w:r>
          </w:p>
        </w:tc>
        <w:tc>
          <w:tcPr>
            <w:tcW w:type="dxa" w:w="6520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As seis categorias atuais são suficientes e correspondem à classificação interna do MPT?</w:t>
            </w:r>
          </w:p>
        </w:tc>
      </w:tr>
      <w:tr>
        <w:tc>
          <w:tcPr>
            <w:tcW w:type="dxa" w:w="1814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Usuários</w:t>
            </w:r>
          </w:p>
        </w:tc>
        <w:tc>
          <w:tcPr>
            <w:tcW w:type="dxa" w:w="1020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P2</w:t>
            </w:r>
          </w:p>
        </w:tc>
        <w:tc>
          <w:tcPr>
            <w:tcW w:type="dxa" w:w="6520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Deve existir salvamento automático de rascunho? Por quanto tempo e em qual dispositivo?</w:t>
            </w:r>
          </w:p>
        </w:tc>
      </w:tr>
    </w:tbl>
    <w:p>
      <w:pPr>
        <w:spacing w:after="120" w:before="240"/>
        <w:jc w:val="left"/>
      </w:pPr>
      <w:r>
        <w:rPr>
          <w:rFonts w:ascii="Calibri" w:hAnsi="Calibri"/>
          <w:b/>
          <w:color w:val="0C6E64"/>
          <w:sz w:val="30"/>
        </w:rPr>
        <w:t>C. Áudio e acessibilidade comunicacional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1814"/>
            <w:vAlign w:val="center"/>
            <w:shd w:val="clear" w:color="auto" w:fill="17335C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Público principal</w:t>
            </w:r>
          </w:p>
        </w:tc>
        <w:tc>
          <w:tcPr>
            <w:tcW w:type="dxa" w:w="1020"/>
            <w:vAlign w:val="center"/>
            <w:shd w:val="clear" w:color="auto" w:fill="17335C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Prioridade</w:t>
            </w:r>
          </w:p>
        </w:tc>
        <w:tc>
          <w:tcPr>
            <w:tcW w:type="dxa" w:w="6520"/>
            <w:vAlign w:val="center"/>
            <w:shd w:val="clear" w:color="auto" w:fill="17335C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Pergunta</w:t>
            </w:r>
          </w:p>
        </w:tc>
      </w:tr>
      <w:tr>
        <w:tc>
          <w:tcPr>
            <w:tcW w:type="dxa" w:w="1814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Requisitante</w:t>
            </w:r>
          </w:p>
        </w:tc>
        <w:tc>
          <w:tcPr>
            <w:tcW w:type="dxa" w:w="1020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P0</w:t>
            </w:r>
          </w:p>
        </w:tc>
        <w:tc>
          <w:tcPr>
            <w:tcW w:type="dxa" w:w="6520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O relato por áudio é requisito aprovado ou protótipo visual?</w:t>
            </w:r>
          </w:p>
        </w:tc>
      </w:tr>
      <w:tr>
        <w:tc>
          <w:tcPr>
            <w:tcW w:type="dxa" w:w="1814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Negócio/Jurídico</w:t>
            </w:r>
          </w:p>
        </w:tc>
        <w:tc>
          <w:tcPr>
            <w:tcW w:type="dxa" w:w="1020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P0</w:t>
            </w:r>
          </w:p>
        </w:tc>
        <w:tc>
          <w:tcPr>
            <w:tcW w:type="dxa" w:w="6520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O que significa “Sua voz não será identificada”? A voz deve ser alterada ou apenas tratada sob sigilo?</w:t>
            </w:r>
          </w:p>
        </w:tc>
      </w:tr>
      <w:tr>
        <w:tc>
          <w:tcPr>
            <w:tcW w:type="dxa" w:w="1814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Negócio</w:t>
            </w:r>
          </w:p>
        </w:tc>
        <w:tc>
          <w:tcPr>
            <w:tcW w:type="dxa" w:w="1020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P0</w:t>
            </w:r>
          </w:p>
        </w:tc>
        <w:tc>
          <w:tcPr>
            <w:tcW w:type="dxa" w:w="6520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O áudio original deve chegar à API MPT? Em qual formato e limite?</w:t>
            </w:r>
          </w:p>
        </w:tc>
      </w:tr>
      <w:tr>
        <w:tc>
          <w:tcPr>
            <w:tcW w:type="dxa" w:w="1814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Negócio</w:t>
            </w:r>
          </w:p>
        </w:tc>
        <w:tc>
          <w:tcPr>
            <w:tcW w:type="dxa" w:w="1020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P1</w:t>
            </w:r>
          </w:p>
        </w:tc>
        <w:tc>
          <w:tcPr>
            <w:tcW w:type="dxa" w:w="6520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A transcrição é obrigatória? Quem valida erros de transcrição?</w:t>
            </w:r>
          </w:p>
        </w:tc>
      </w:tr>
      <w:tr>
        <w:tc>
          <w:tcPr>
            <w:tcW w:type="dxa" w:w="1814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Jurídico/Privacidade</w:t>
            </w:r>
          </w:p>
        </w:tc>
        <w:tc>
          <w:tcPr>
            <w:tcW w:type="dxa" w:w="1020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P1</w:t>
            </w:r>
          </w:p>
        </w:tc>
        <w:tc>
          <w:tcPr>
            <w:tcW w:type="dxa" w:w="6520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Qual retenção e acesso são permitidos para áudio e transcrição?</w:t>
            </w:r>
          </w:p>
        </w:tc>
      </w:tr>
      <w:tr>
        <w:tc>
          <w:tcPr>
            <w:tcW w:type="dxa" w:w="1814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Usuários</w:t>
            </w:r>
          </w:p>
        </w:tc>
        <w:tc>
          <w:tcPr>
            <w:tcW w:type="dxa" w:w="1020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P2</w:t>
            </w:r>
          </w:p>
        </w:tc>
        <w:tc>
          <w:tcPr>
            <w:tcW w:type="dxa" w:w="6520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Qual alternativa deve existir quando o navegador não permite microfone?</w:t>
            </w:r>
          </w:p>
        </w:tc>
      </w:tr>
    </w:tbl>
    <w:p>
      <w:pPr>
        <w:spacing w:after="120" w:before="240"/>
        <w:jc w:val="left"/>
      </w:pPr>
      <w:r>
        <w:rPr>
          <w:rFonts w:ascii="Calibri" w:hAnsi="Calibri"/>
          <w:b/>
          <w:color w:val="0C6E64"/>
          <w:sz w:val="30"/>
        </w:rPr>
        <w:t>D. Identificação, anonimato, sigilo e LGPD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1814"/>
            <w:vAlign w:val="center"/>
            <w:shd w:val="clear" w:color="auto" w:fill="17335C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Público principal</w:t>
            </w:r>
          </w:p>
        </w:tc>
        <w:tc>
          <w:tcPr>
            <w:tcW w:type="dxa" w:w="1020"/>
            <w:vAlign w:val="center"/>
            <w:shd w:val="clear" w:color="auto" w:fill="17335C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Prioridade</w:t>
            </w:r>
          </w:p>
        </w:tc>
        <w:tc>
          <w:tcPr>
            <w:tcW w:type="dxa" w:w="6520"/>
            <w:vAlign w:val="center"/>
            <w:shd w:val="clear" w:color="auto" w:fill="17335C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Pergunta</w:t>
            </w:r>
          </w:p>
        </w:tc>
      </w:tr>
      <w:tr>
        <w:tc>
          <w:tcPr>
            <w:tcW w:type="dxa" w:w="1814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Jurídico/Negócio</w:t>
            </w:r>
          </w:p>
        </w:tc>
        <w:tc>
          <w:tcPr>
            <w:tcW w:type="dxa" w:w="1020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P0</w:t>
            </w:r>
          </w:p>
        </w:tc>
        <w:tc>
          <w:tcPr>
            <w:tcW w:type="dxa" w:w="6520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Definir precisamente anonimato, sigilo e confidencialidade para este processo.</w:t>
            </w:r>
          </w:p>
        </w:tc>
      </w:tr>
      <w:tr>
        <w:tc>
          <w:tcPr>
            <w:tcW w:type="dxa" w:w="1814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Negócio</w:t>
            </w:r>
          </w:p>
        </w:tc>
        <w:tc>
          <w:tcPr>
            <w:tcW w:type="dxa" w:w="1020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P0</w:t>
            </w:r>
          </w:p>
        </w:tc>
        <w:tc>
          <w:tcPr>
            <w:tcW w:type="dxa" w:w="6520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Uma denúncia identificada deve receber sigilo=true ou outro indicador?</w:t>
            </w:r>
          </w:p>
        </w:tc>
      </w:tr>
      <w:tr>
        <w:tc>
          <w:tcPr>
            <w:tcW w:type="dxa" w:w="1814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Privacidade</w:t>
            </w:r>
          </w:p>
        </w:tc>
        <w:tc>
          <w:tcPr>
            <w:tcW w:type="dxa" w:w="1020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P0</w:t>
            </w:r>
          </w:p>
        </w:tc>
        <w:tc>
          <w:tcPr>
            <w:tcW w:type="dxa" w:w="6520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Ao escolher anonimato, todo dado pessoal já digitado deve ser eliminado?</w:t>
            </w:r>
          </w:p>
        </w:tc>
      </w:tr>
      <w:tr>
        <w:tc>
          <w:tcPr>
            <w:tcW w:type="dxa" w:w="1814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Privacidade</w:t>
            </w:r>
          </w:p>
        </w:tc>
        <w:tc>
          <w:tcPr>
            <w:tcW w:type="dxa" w:w="1020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P0</w:t>
            </w:r>
          </w:p>
        </w:tc>
        <w:tc>
          <w:tcPr>
            <w:tcW w:type="dxa" w:w="6520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Qual base legal autoriza o tratamento de dados do denunciante e de terceiros citados?</w:t>
            </w:r>
          </w:p>
        </w:tc>
      </w:tr>
      <w:tr>
        <w:tc>
          <w:tcPr>
            <w:tcW w:type="dxa" w:w="1814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Negócio</w:t>
            </w:r>
          </w:p>
        </w:tc>
        <w:tc>
          <w:tcPr>
            <w:tcW w:type="dxa" w:w="1020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P1</w:t>
            </w:r>
          </w:p>
        </w:tc>
        <w:tc>
          <w:tcPr>
            <w:tcW w:type="dxa" w:w="6520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Quais dados de contato são obrigatórios no modo identificado? Basta um canal de contato?</w:t>
            </w:r>
          </w:p>
        </w:tc>
      </w:tr>
      <w:tr>
        <w:tc>
          <w:tcPr>
            <w:tcW w:type="dxa" w:w="1814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Privacidade</w:t>
            </w:r>
          </w:p>
        </w:tc>
        <w:tc>
          <w:tcPr>
            <w:tcW w:type="dxa" w:w="1020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P1</w:t>
            </w:r>
          </w:p>
        </w:tc>
        <w:tc>
          <w:tcPr>
            <w:tcW w:type="dxa" w:w="6520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Qual aviso de privacidade deve ser mostrado e como registrar ciência quando aplicável?</w:t>
            </w:r>
          </w:p>
        </w:tc>
      </w:tr>
      <w:tr>
        <w:tc>
          <w:tcPr>
            <w:tcW w:type="dxa" w:w="1814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Privacidade</w:t>
            </w:r>
          </w:p>
        </w:tc>
        <w:tc>
          <w:tcPr>
            <w:tcW w:type="dxa" w:w="1020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P1</w:t>
            </w:r>
          </w:p>
        </w:tc>
        <w:tc>
          <w:tcPr>
            <w:tcW w:type="dxa" w:w="6520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Quais prazos de retenção se aplicam a denúncia, anexos, logs e dados de contato?</w:t>
            </w:r>
          </w:p>
        </w:tc>
      </w:tr>
      <w:tr>
        <w:tc>
          <w:tcPr>
            <w:tcW w:type="dxa" w:w="1814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Jurídico</w:t>
            </w:r>
          </w:p>
        </w:tc>
        <w:tc>
          <w:tcPr>
            <w:tcW w:type="dxa" w:w="1020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P1</w:t>
            </w:r>
          </w:p>
        </w:tc>
        <w:tc>
          <w:tcPr>
            <w:tcW w:type="dxa" w:w="6520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Quem pode acessar dados sigilosos e como deve ser auditado esse acesso?</w:t>
            </w:r>
          </w:p>
        </w:tc>
      </w:tr>
      <w:tr>
        <w:tc>
          <w:tcPr>
            <w:tcW w:type="dxa" w:w="1814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Privacidade/Infra</w:t>
            </w:r>
          </w:p>
        </w:tc>
        <w:tc>
          <w:tcPr>
            <w:tcW w:type="dxa" w:w="1020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P1</w:t>
            </w:r>
          </w:p>
        </w:tc>
        <w:tc>
          <w:tcPr>
            <w:tcW w:type="dxa" w:w="6520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IP em logs e rate limit é compatível com a promessa de anonimato?</w:t>
            </w:r>
          </w:p>
        </w:tc>
      </w:tr>
    </w:tbl>
    <w:p>
      <w:pPr>
        <w:spacing w:after="120" w:before="240"/>
        <w:jc w:val="left"/>
      </w:pPr>
      <w:r>
        <w:rPr>
          <w:rFonts w:ascii="Calibri" w:hAnsi="Calibri"/>
          <w:b/>
          <w:color w:val="0C6E64"/>
          <w:sz w:val="30"/>
        </w:rPr>
        <w:t>E. Empresa e localização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1814"/>
            <w:vAlign w:val="center"/>
            <w:shd w:val="clear" w:color="auto" w:fill="17335C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Público principal</w:t>
            </w:r>
          </w:p>
        </w:tc>
        <w:tc>
          <w:tcPr>
            <w:tcW w:type="dxa" w:w="1020"/>
            <w:vAlign w:val="center"/>
            <w:shd w:val="clear" w:color="auto" w:fill="17335C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Prioridade</w:t>
            </w:r>
          </w:p>
        </w:tc>
        <w:tc>
          <w:tcPr>
            <w:tcW w:type="dxa" w:w="6520"/>
            <w:vAlign w:val="center"/>
            <w:shd w:val="clear" w:color="auto" w:fill="17335C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Pergunta</w:t>
            </w:r>
          </w:p>
        </w:tc>
      </w:tr>
      <w:tr>
        <w:tc>
          <w:tcPr>
            <w:tcW w:type="dxa" w:w="1814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Negócio</w:t>
            </w:r>
          </w:p>
        </w:tc>
        <w:tc>
          <w:tcPr>
            <w:tcW w:type="dxa" w:w="1020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P0</w:t>
            </w:r>
          </w:p>
        </w:tc>
        <w:tc>
          <w:tcPr>
            <w:tcW w:type="dxa" w:w="6520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CNPJ precisa ser válido ou pode ser apenas uma referência informada pelo cidadão?</w:t>
            </w:r>
          </w:p>
        </w:tc>
      </w:tr>
      <w:tr>
        <w:tc>
          <w:tcPr>
            <w:tcW w:type="dxa" w:w="1814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Negócio</w:t>
            </w:r>
          </w:p>
        </w:tc>
        <w:tc>
          <w:tcPr>
            <w:tcW w:type="dxa" w:w="1020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P1</w:t>
            </w:r>
          </w:p>
        </w:tc>
        <w:tc>
          <w:tcPr>
            <w:tcW w:type="dxa" w:w="6520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Município deve usar texto livre, lista oficial ou código IBGE?</w:t>
            </w:r>
          </w:p>
        </w:tc>
      </w:tr>
      <w:tr>
        <w:tc>
          <w:tcPr>
            <w:tcW w:type="dxa" w:w="1814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Negócio</w:t>
            </w:r>
          </w:p>
        </w:tc>
        <w:tc>
          <w:tcPr>
            <w:tcW w:type="dxa" w:w="1020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P1</w:t>
            </w:r>
          </w:p>
        </w:tc>
        <w:tc>
          <w:tcPr>
            <w:tcW w:type="dxa" w:w="6520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Como registrar ocorrência sem empresa conhecida, trabalho doméstico ou plataforma digital?</w:t>
            </w:r>
          </w:p>
        </w:tc>
      </w:tr>
      <w:tr>
        <w:tc>
          <w:tcPr>
            <w:tcW w:type="dxa" w:w="1814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Negócio</w:t>
            </w:r>
          </w:p>
        </w:tc>
        <w:tc>
          <w:tcPr>
            <w:tcW w:type="dxa" w:w="1020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P1</w:t>
            </w:r>
          </w:p>
        </w:tc>
        <w:tc>
          <w:tcPr>
            <w:tcW w:type="dxa" w:w="6520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Há roteamento por UF, município, PRT ou unidade interna?</w:t>
            </w:r>
          </w:p>
        </w:tc>
      </w:tr>
      <w:tr>
        <w:tc>
          <w:tcPr>
            <w:tcW w:type="dxa" w:w="1814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Usuários</w:t>
            </w:r>
          </w:p>
        </w:tc>
        <w:tc>
          <w:tcPr>
            <w:tcW w:type="dxa" w:w="1020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P2</w:t>
            </w:r>
          </w:p>
        </w:tc>
        <w:tc>
          <w:tcPr>
            <w:tcW w:type="dxa" w:w="6520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É necessário localizar endereço por CEP ou mapa?</w:t>
            </w:r>
          </w:p>
        </w:tc>
      </w:tr>
    </w:tbl>
    <w:p>
      <w:pPr>
        <w:spacing w:after="120" w:before="240"/>
        <w:jc w:val="left"/>
      </w:pPr>
      <w:r>
        <w:rPr>
          <w:rFonts w:ascii="Calibri" w:hAnsi="Calibri"/>
          <w:b/>
          <w:color w:val="0C6E64"/>
          <w:sz w:val="30"/>
        </w:rPr>
        <w:t>F. Anexos e segurança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1814"/>
            <w:vAlign w:val="center"/>
            <w:shd w:val="clear" w:color="auto" w:fill="17335C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Público principal</w:t>
            </w:r>
          </w:p>
        </w:tc>
        <w:tc>
          <w:tcPr>
            <w:tcW w:type="dxa" w:w="1020"/>
            <w:vAlign w:val="center"/>
            <w:shd w:val="clear" w:color="auto" w:fill="17335C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Prioridade</w:t>
            </w:r>
          </w:p>
        </w:tc>
        <w:tc>
          <w:tcPr>
            <w:tcW w:type="dxa" w:w="6520"/>
            <w:vAlign w:val="center"/>
            <w:shd w:val="clear" w:color="auto" w:fill="17335C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Pergunta</w:t>
            </w:r>
          </w:p>
        </w:tc>
      </w:tr>
      <w:tr>
        <w:tc>
          <w:tcPr>
            <w:tcW w:type="dxa" w:w="1814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Negócio</w:t>
            </w:r>
          </w:p>
        </w:tc>
        <w:tc>
          <w:tcPr>
            <w:tcW w:type="dxa" w:w="1020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P0</w:t>
            </w:r>
          </w:p>
        </w:tc>
        <w:tc>
          <w:tcPr>
            <w:tcW w:type="dxa" w:w="6520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Confirmar tipos de arquivo oficialmente permitidos.</w:t>
            </w:r>
          </w:p>
        </w:tc>
      </w:tr>
      <w:tr>
        <w:tc>
          <w:tcPr>
            <w:tcW w:type="dxa" w:w="1814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Negócio/Infra</w:t>
            </w:r>
          </w:p>
        </w:tc>
        <w:tc>
          <w:tcPr>
            <w:tcW w:type="dxa" w:w="1020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P0</w:t>
            </w:r>
          </w:p>
        </w:tc>
        <w:tc>
          <w:tcPr>
            <w:tcW w:type="dxa" w:w="6520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Confirmar 10 arquivos, 20 MB por arquivo e limite total por denúncia.</w:t>
            </w:r>
          </w:p>
        </w:tc>
      </w:tr>
      <w:tr>
        <w:tc>
          <w:tcPr>
            <w:tcW w:type="dxa" w:w="1814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Usuários</w:t>
            </w:r>
          </w:p>
        </w:tc>
        <w:tc>
          <w:tcPr>
            <w:tcW w:type="dxa" w:w="1020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P1</w:t>
            </w:r>
          </w:p>
        </w:tc>
        <w:tc>
          <w:tcPr>
            <w:tcW w:type="dxa" w:w="6520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HEIC de iPhone deve ser aceito ou convertido?</w:t>
            </w:r>
          </w:p>
        </w:tc>
      </w:tr>
      <w:tr>
        <w:tc>
          <w:tcPr>
            <w:tcW w:type="dxa" w:w="1814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Segurança</w:t>
            </w:r>
          </w:p>
        </w:tc>
        <w:tc>
          <w:tcPr>
            <w:tcW w:type="dxa" w:w="1020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P0</w:t>
            </w:r>
          </w:p>
        </w:tc>
        <w:tc>
          <w:tcPr>
            <w:tcW w:type="dxa" w:w="6520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Arquivo com MIME/extensão divergente deve ser sempre rejeitado?</w:t>
            </w:r>
          </w:p>
        </w:tc>
      </w:tr>
      <w:tr>
        <w:tc>
          <w:tcPr>
            <w:tcW w:type="dxa" w:w="1814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Negócio</w:t>
            </w:r>
          </w:p>
        </w:tc>
        <w:tc>
          <w:tcPr>
            <w:tcW w:type="dxa" w:w="1020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P1</w:t>
            </w:r>
          </w:p>
        </w:tc>
        <w:tc>
          <w:tcPr>
            <w:tcW w:type="dxa" w:w="6520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Se um anexo estiver infectado, rejeitar toda a denúncia ou permitir remoção e reenvio?</w:t>
            </w:r>
          </w:p>
        </w:tc>
      </w:tr>
      <w:tr>
        <w:tc>
          <w:tcPr>
            <w:tcW w:type="dxa" w:w="1814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Infra</w:t>
            </w:r>
          </w:p>
        </w:tc>
        <w:tc>
          <w:tcPr>
            <w:tcW w:type="dxa" w:w="1020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P1</w:t>
            </w:r>
          </w:p>
        </w:tc>
        <w:tc>
          <w:tcPr>
            <w:tcW w:type="dxa" w:w="6520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Qual tempo máximo aceitável para varrer e transmitir anexos?</w:t>
            </w:r>
          </w:p>
        </w:tc>
      </w:tr>
      <w:tr>
        <w:tc>
          <w:tcPr>
            <w:tcW w:type="dxa" w:w="1814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Segurança</w:t>
            </w:r>
          </w:p>
        </w:tc>
        <w:tc>
          <w:tcPr>
            <w:tcW w:type="dxa" w:w="1020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P1</w:t>
            </w:r>
          </w:p>
        </w:tc>
        <w:tc>
          <w:tcPr>
            <w:tcW w:type="dxa" w:w="6520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É necessário CDR para PDF/DOCX além do antivírus?</w:t>
            </w:r>
          </w:p>
        </w:tc>
      </w:tr>
      <w:tr>
        <w:tc>
          <w:tcPr>
            <w:tcW w:type="dxa" w:w="1814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Operação</w:t>
            </w:r>
          </w:p>
        </w:tc>
        <w:tc>
          <w:tcPr>
            <w:tcW w:type="dxa" w:w="1020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P1</w:t>
            </w:r>
          </w:p>
        </w:tc>
        <w:tc>
          <w:tcPr>
            <w:tcW w:type="dxa" w:w="6520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Como limpar arquivos temporários após crash ou reinício abrupto?</w:t>
            </w:r>
          </w:p>
        </w:tc>
      </w:tr>
    </w:tbl>
    <w:p>
      <w:pPr>
        <w:spacing w:after="120" w:before="240"/>
        <w:jc w:val="left"/>
      </w:pPr>
      <w:r>
        <w:rPr>
          <w:rFonts w:ascii="Calibri" w:hAnsi="Calibri"/>
          <w:b/>
          <w:color w:val="0C6E64"/>
          <w:sz w:val="30"/>
        </w:rPr>
        <w:t>G. Envio, protocolo e pós-envio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1814"/>
            <w:vAlign w:val="center"/>
            <w:shd w:val="clear" w:color="auto" w:fill="17335C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Público principal</w:t>
            </w:r>
          </w:p>
        </w:tc>
        <w:tc>
          <w:tcPr>
            <w:tcW w:type="dxa" w:w="1020"/>
            <w:vAlign w:val="center"/>
            <w:shd w:val="clear" w:color="auto" w:fill="17335C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Prioridade</w:t>
            </w:r>
          </w:p>
        </w:tc>
        <w:tc>
          <w:tcPr>
            <w:tcW w:type="dxa" w:w="6520"/>
            <w:vAlign w:val="center"/>
            <w:shd w:val="clear" w:color="auto" w:fill="17335C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Pergunta</w:t>
            </w:r>
          </w:p>
        </w:tc>
      </w:tr>
      <w:tr>
        <w:tc>
          <w:tcPr>
            <w:tcW w:type="dxa" w:w="1814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Equipe API MPT</w:t>
            </w:r>
          </w:p>
        </w:tc>
        <w:tc>
          <w:tcPr>
            <w:tcW w:type="dxa" w:w="1020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P0</w:t>
            </w:r>
          </w:p>
        </w:tc>
        <w:tc>
          <w:tcPr>
            <w:tcW w:type="dxa" w:w="6520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A API interna suporta Idempotency-Key ou identificador externo estável?</w:t>
            </w:r>
          </w:p>
        </w:tc>
      </w:tr>
      <w:tr>
        <w:tc>
          <w:tcPr>
            <w:tcW w:type="dxa" w:w="1814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Negócio</w:t>
            </w:r>
          </w:p>
        </w:tc>
        <w:tc>
          <w:tcPr>
            <w:tcW w:type="dxa" w:w="1020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P0</w:t>
            </w:r>
          </w:p>
        </w:tc>
        <w:tc>
          <w:tcPr>
            <w:tcW w:type="dxa" w:w="6520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O protocolo gerado pelo BFF é definitivo e reconhecido pelos sistemas internos?</w:t>
            </w:r>
          </w:p>
        </w:tc>
      </w:tr>
      <w:tr>
        <w:tc>
          <w:tcPr>
            <w:tcW w:type="dxa" w:w="1814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Negócio</w:t>
            </w:r>
          </w:p>
        </w:tc>
        <w:tc>
          <w:tcPr>
            <w:tcW w:type="dxa" w:w="1020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P0</w:t>
            </w:r>
          </w:p>
        </w:tc>
        <w:tc>
          <w:tcPr>
            <w:tcW w:type="dxa" w:w="6520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Existe acompanhamento por protocolo? Qual autenticação será exigida?</w:t>
            </w:r>
          </w:p>
        </w:tc>
      </w:tr>
      <w:tr>
        <w:tc>
          <w:tcPr>
            <w:tcW w:type="dxa" w:w="1814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Negócio</w:t>
            </w:r>
          </w:p>
        </w:tc>
        <w:tc>
          <w:tcPr>
            <w:tcW w:type="dxa" w:w="1020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P1</w:t>
            </w:r>
          </w:p>
        </w:tc>
        <w:tc>
          <w:tcPr>
            <w:tcW w:type="dxa" w:w="6520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Deve haver comprovante para download, impressão, e-mail ou SMS?</w:t>
            </w:r>
          </w:p>
        </w:tc>
      </w:tr>
      <w:tr>
        <w:tc>
          <w:tcPr>
            <w:tcW w:type="dxa" w:w="1814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Operação</w:t>
            </w:r>
          </w:p>
        </w:tc>
        <w:tc>
          <w:tcPr>
            <w:tcW w:type="dxa" w:w="1020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P0</w:t>
            </w:r>
          </w:p>
        </w:tc>
        <w:tc>
          <w:tcPr>
            <w:tcW w:type="dxa" w:w="6520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O que fazer se a API MPT aceitar e a resposta se perder?</w:t>
            </w:r>
          </w:p>
        </w:tc>
      </w:tr>
      <w:tr>
        <w:tc>
          <w:tcPr>
            <w:tcW w:type="dxa" w:w="1814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Operação</w:t>
            </w:r>
          </w:p>
        </w:tc>
        <w:tc>
          <w:tcPr>
            <w:tcW w:type="dxa" w:w="1020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P1</w:t>
            </w:r>
          </w:p>
        </w:tc>
        <w:tc>
          <w:tcPr>
            <w:tcW w:type="dxa" w:w="6520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O que fazer em indisponibilidade prolongada: bloquear, enfileirar ou orientar canal alternativo?</w:t>
            </w:r>
          </w:p>
        </w:tc>
      </w:tr>
      <w:tr>
        <w:tc>
          <w:tcPr>
            <w:tcW w:type="dxa" w:w="1814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Usuários</w:t>
            </w:r>
          </w:p>
        </w:tc>
        <w:tc>
          <w:tcPr>
            <w:tcW w:type="dxa" w:w="1020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P1</w:t>
            </w:r>
          </w:p>
        </w:tc>
        <w:tc>
          <w:tcPr>
            <w:tcW w:type="dxa" w:w="6520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Quais mensagens de erro são compreensíveis sem expor detalhes internos?</w:t>
            </w:r>
          </w:p>
        </w:tc>
      </w:tr>
      <w:tr>
        <w:tc>
          <w:tcPr>
            <w:tcW w:type="dxa" w:w="1814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Negócio</w:t>
            </w:r>
          </w:p>
        </w:tc>
        <w:tc>
          <w:tcPr>
            <w:tcW w:type="dxa" w:w="1020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P2</w:t>
            </w:r>
          </w:p>
        </w:tc>
        <w:tc>
          <w:tcPr>
            <w:tcW w:type="dxa" w:w="6520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É necessário permitir complementação posterior da denúncia?</w:t>
            </w:r>
          </w:p>
        </w:tc>
      </w:tr>
    </w:tbl>
    <w:p>
      <w:pPr>
        <w:spacing w:after="120" w:before="240"/>
        <w:jc w:val="left"/>
      </w:pPr>
      <w:r>
        <w:rPr>
          <w:rFonts w:ascii="Calibri" w:hAnsi="Calibri"/>
          <w:b/>
          <w:color w:val="0C6E64"/>
          <w:sz w:val="30"/>
        </w:rPr>
        <w:t>H. Operação, capacidade e produção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1814"/>
            <w:vAlign w:val="center"/>
            <w:shd w:val="clear" w:color="auto" w:fill="17335C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Público principal</w:t>
            </w:r>
          </w:p>
        </w:tc>
        <w:tc>
          <w:tcPr>
            <w:tcW w:type="dxa" w:w="1020"/>
            <w:vAlign w:val="center"/>
            <w:shd w:val="clear" w:color="auto" w:fill="17335C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Prioridade</w:t>
            </w:r>
          </w:p>
        </w:tc>
        <w:tc>
          <w:tcPr>
            <w:tcW w:type="dxa" w:w="6520"/>
            <w:vAlign w:val="center"/>
            <w:shd w:val="clear" w:color="auto" w:fill="17335C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Pergunta</w:t>
            </w:r>
          </w:p>
        </w:tc>
      </w:tr>
      <w:tr>
        <w:tc>
          <w:tcPr>
            <w:tcW w:type="dxa" w:w="1814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Requisitante/Infra</w:t>
            </w:r>
          </w:p>
        </w:tc>
        <w:tc>
          <w:tcPr>
            <w:tcW w:type="dxa" w:w="1020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P0</w:t>
            </w:r>
          </w:p>
        </w:tc>
        <w:tc>
          <w:tcPr>
            <w:tcW w:type="dxa" w:w="6520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Confirmar 100 denúncias/h, 500 usuários, 100 uploads simultâneos e 3 réplicas.</w:t>
            </w:r>
          </w:p>
        </w:tc>
      </w:tr>
      <w:tr>
        <w:tc>
          <w:tcPr>
            <w:tcW w:type="dxa" w:w="1814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Requisitante</w:t>
            </w:r>
          </w:p>
        </w:tc>
        <w:tc>
          <w:tcPr>
            <w:tcW w:type="dxa" w:w="1020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P0</w:t>
            </w:r>
          </w:p>
        </w:tc>
        <w:tc>
          <w:tcPr>
            <w:tcW w:type="dxa" w:w="6520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99,5% é SLO aprovado? Qual janela mensal e quais exclusões?</w:t>
            </w:r>
          </w:p>
        </w:tc>
      </w:tr>
      <w:tr>
        <w:tc>
          <w:tcPr>
            <w:tcW w:type="dxa" w:w="1814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Infra</w:t>
            </w:r>
          </w:p>
        </w:tc>
        <w:tc>
          <w:tcPr>
            <w:tcW w:type="dxa" w:w="1020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P0</w:t>
            </w:r>
          </w:p>
        </w:tc>
        <w:tc>
          <w:tcPr>
            <w:tcW w:type="dxa" w:w="6520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Qual plataforma Azure será usada e quem provisionará Redis e ClamAV?</w:t>
            </w:r>
          </w:p>
        </w:tc>
      </w:tr>
      <w:tr>
        <w:tc>
          <w:tcPr>
            <w:tcW w:type="dxa" w:w="1814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Infra</w:t>
            </w:r>
          </w:p>
        </w:tc>
        <w:tc>
          <w:tcPr>
            <w:tcW w:type="dxa" w:w="1020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P0</w:t>
            </w:r>
          </w:p>
        </w:tc>
        <w:tc>
          <w:tcPr>
            <w:tcW w:type="dxa" w:w="6520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Quais sinais tornam uma réplica pronta: Redis, ClamAV e/ou API MPT?</w:t>
            </w:r>
          </w:p>
        </w:tc>
      </w:tr>
      <w:tr>
        <w:tc>
          <w:tcPr>
            <w:tcW w:type="dxa" w:w="1814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Operação</w:t>
            </w:r>
          </w:p>
        </w:tc>
        <w:tc>
          <w:tcPr>
            <w:tcW w:type="dxa" w:w="1020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P1</w:t>
            </w:r>
          </w:p>
        </w:tc>
        <w:tc>
          <w:tcPr>
            <w:tcW w:type="dxa" w:w="6520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Quais thresholds de latência, 5xx, CPU, memória e disco geram alerta?</w:t>
            </w:r>
          </w:p>
        </w:tc>
      </w:tr>
      <w:tr>
        <w:tc>
          <w:tcPr>
            <w:tcW w:type="dxa" w:w="1814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Operação/Privacidade</w:t>
            </w:r>
          </w:p>
        </w:tc>
        <w:tc>
          <w:tcPr>
            <w:tcW w:type="dxa" w:w="1020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P1</w:t>
            </w:r>
          </w:p>
        </w:tc>
        <w:tc>
          <w:tcPr>
            <w:tcW w:type="dxa" w:w="6520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Onde os logs ficarão e como garantir retenção de exatamente 10 dias?</w:t>
            </w:r>
          </w:p>
        </w:tc>
      </w:tr>
      <w:tr>
        <w:tc>
          <w:tcPr>
            <w:tcW w:type="dxa" w:w="1814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Infra</w:t>
            </w:r>
          </w:p>
        </w:tc>
        <w:tc>
          <w:tcPr>
            <w:tcW w:type="dxa" w:w="1020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P1</w:t>
            </w:r>
          </w:p>
        </w:tc>
        <w:tc>
          <w:tcPr>
            <w:tcW w:type="dxa" w:w="6520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Como serão geridos secrets, certificados, DNS, backup e rollback?</w:t>
            </w:r>
          </w:p>
        </w:tc>
      </w:tr>
      <w:tr>
        <w:tc>
          <w:tcPr>
            <w:tcW w:type="dxa" w:w="1814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QA</w:t>
            </w:r>
          </w:p>
        </w:tc>
        <w:tc>
          <w:tcPr>
            <w:tcW w:type="dxa" w:w="1020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P1</w:t>
            </w:r>
          </w:p>
        </w:tc>
        <w:tc>
          <w:tcPr>
            <w:tcW w:type="dxa" w:w="6520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Quais critérios objetivos aprovam o teste de carga e a entrada em produção?</w:t>
            </w:r>
          </w:p>
        </w:tc>
      </w:tr>
    </w:tbl>
    <w:p>
      <w:pPr>
        <w:spacing w:after="120" w:before="240"/>
        <w:jc w:val="left"/>
      </w:pPr>
      <w:r>
        <w:rPr>
          <w:rFonts w:ascii="Calibri" w:hAnsi="Calibri"/>
          <w:b/>
          <w:color w:val="0C6E64"/>
          <w:sz w:val="30"/>
        </w:rPr>
        <w:t>I. Qualidade, acessibilidade e suporte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1814"/>
            <w:vAlign w:val="center"/>
            <w:shd w:val="clear" w:color="auto" w:fill="17335C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Público principal</w:t>
            </w:r>
          </w:p>
        </w:tc>
        <w:tc>
          <w:tcPr>
            <w:tcW w:type="dxa" w:w="1020"/>
            <w:vAlign w:val="center"/>
            <w:shd w:val="clear" w:color="auto" w:fill="17335C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Prioridade</w:t>
            </w:r>
          </w:p>
        </w:tc>
        <w:tc>
          <w:tcPr>
            <w:tcW w:type="dxa" w:w="6520"/>
            <w:vAlign w:val="center"/>
            <w:shd w:val="clear" w:color="auto" w:fill="17335C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Pergunta</w:t>
            </w:r>
          </w:p>
        </w:tc>
      </w:tr>
      <w:tr>
        <w:tc>
          <w:tcPr>
            <w:tcW w:type="dxa" w:w="1814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Usuários/QA</w:t>
            </w:r>
          </w:p>
        </w:tc>
        <w:tc>
          <w:tcPr>
            <w:tcW w:type="dxa" w:w="1020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P0</w:t>
            </w:r>
          </w:p>
        </w:tc>
        <w:tc>
          <w:tcPr>
            <w:tcW w:type="dxa" w:w="6520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Quais perfis de usuário participarão da homologação e quais jornadas serão assinadas?</w:t>
            </w:r>
          </w:p>
        </w:tc>
      </w:tr>
      <w:tr>
        <w:tc>
          <w:tcPr>
            <w:tcW w:type="dxa" w:w="1814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Acessibilidade</w:t>
            </w:r>
          </w:p>
        </w:tc>
        <w:tc>
          <w:tcPr>
            <w:tcW w:type="dxa" w:w="1020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P1</w:t>
            </w:r>
          </w:p>
        </w:tc>
        <w:tc>
          <w:tcPr>
            <w:tcW w:type="dxa" w:w="6520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Além de WCAG 2.1 AA, eMAG é obrigatório?</w:t>
            </w:r>
          </w:p>
        </w:tc>
      </w:tr>
      <w:tr>
        <w:tc>
          <w:tcPr>
            <w:tcW w:type="dxa" w:w="1814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QA</w:t>
            </w:r>
          </w:p>
        </w:tc>
        <w:tc>
          <w:tcPr>
            <w:tcW w:type="dxa" w:w="1020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P1</w:t>
            </w:r>
          </w:p>
        </w:tc>
        <w:tc>
          <w:tcPr>
            <w:tcW w:type="dxa" w:w="6520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Quais versões reais de Safari/iOS e demais navegadores devem ser homologadas?</w:t>
            </w:r>
          </w:p>
        </w:tc>
      </w:tr>
      <w:tr>
        <w:tc>
          <w:tcPr>
            <w:tcW w:type="dxa" w:w="1814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Negócio</w:t>
            </w:r>
          </w:p>
        </w:tc>
        <w:tc>
          <w:tcPr>
            <w:tcW w:type="dxa" w:w="1020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P1</w:t>
            </w:r>
          </w:p>
        </w:tc>
        <w:tc>
          <w:tcPr>
            <w:tcW w:type="dxa" w:w="6520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Há requisito de idiomas, Libras, linguagem simples ou leitura facilitada?</w:t>
            </w:r>
          </w:p>
        </w:tc>
      </w:tr>
      <w:tr>
        <w:tc>
          <w:tcPr>
            <w:tcW w:type="dxa" w:w="1814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Suporte</w:t>
            </w:r>
          </w:p>
        </w:tc>
        <w:tc>
          <w:tcPr>
            <w:tcW w:type="dxa" w:w="1020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P1</w:t>
            </w:r>
          </w:p>
        </w:tc>
        <w:tc>
          <w:tcPr>
            <w:tcW w:type="dxa" w:w="6520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Quem recebe incidentes e dúvidas do canal e em qual horário?</w:t>
            </w:r>
          </w:p>
        </w:tc>
      </w:tr>
      <w:tr>
        <w:tc>
          <w:tcPr>
            <w:tcW w:type="dxa" w:w="1814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Governança</w:t>
            </w:r>
          </w:p>
        </w:tc>
        <w:tc>
          <w:tcPr>
            <w:tcW w:type="dxa" w:w="1020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P1</w:t>
            </w:r>
          </w:p>
        </w:tc>
        <w:tc>
          <w:tcPr>
            <w:tcW w:type="dxa" w:w="6520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Quem é dono de cada requisito e quem aprova mudanças de escopo?</w:t>
            </w:r>
          </w:p>
        </w:tc>
      </w:tr>
    </w:tbl>
    <w:p>
      <w:pPr>
        <w:spacing w:after="120" w:before="240"/>
        <w:jc w:val="left"/>
        <w:pBdr>
          <w:bottom w:val="single" w:sz="8" w:space="1" w:color="17335C"/>
        </w:pBdr>
      </w:pPr>
      <w:r>
        <w:rPr>
          <w:rFonts w:ascii="Calibri" w:hAnsi="Calibri"/>
          <w:b/>
          <w:color w:val="17335C"/>
          <w:sz w:val="40"/>
        </w:rPr>
        <w:t>11. Roteiro sugerido de workshops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2381"/>
            <w:vAlign w:val="center"/>
            <w:shd w:val="clear" w:color="auto" w:fill="17335C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Sessão</w:t>
            </w:r>
          </w:p>
        </w:tc>
        <w:tc>
          <w:tcPr>
            <w:tcW w:type="dxa" w:w="2948"/>
            <w:vAlign w:val="center"/>
            <w:shd w:val="clear" w:color="auto" w:fill="17335C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Participantes</w:t>
            </w:r>
          </w:p>
        </w:tc>
        <w:tc>
          <w:tcPr>
            <w:tcW w:type="dxa" w:w="4025"/>
            <w:vAlign w:val="center"/>
            <w:shd w:val="clear" w:color="auto" w:fill="17335C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Saída esperada</w:t>
            </w:r>
          </w:p>
        </w:tc>
      </w:tr>
      <w:tr>
        <w:tc>
          <w:tcPr>
            <w:tcW w:type="dxa" w:w="2381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1 — Escopo e jornada (90 min)</w:t>
            </w:r>
          </w:p>
        </w:tc>
        <w:tc>
          <w:tcPr>
            <w:tcW w:type="dxa" w:w="2948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Usuários, requisitante, negócio</w:t>
            </w:r>
          </w:p>
        </w:tc>
        <w:tc>
          <w:tcPr>
            <w:tcW w:type="dxa" w:w="4025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RF, campos obrigatórios, fluxos alternativos e mensagens.</w:t>
            </w:r>
          </w:p>
        </w:tc>
      </w:tr>
      <w:tr>
        <w:tc>
          <w:tcPr>
            <w:tcW w:type="dxa" w:w="2381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2 — Sigilo e privacidade (90 min)</w:t>
            </w:r>
          </w:p>
        </w:tc>
        <w:tc>
          <w:tcPr>
            <w:tcW w:type="dxa" w:w="2948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Negócio, jurídico, privacidade, segurança</w:t>
            </w:r>
          </w:p>
        </w:tc>
        <w:tc>
          <w:tcPr>
            <w:tcW w:type="dxa" w:w="4025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Anonimato, sigilo, PII, áudio, logs e retenção.</w:t>
            </w:r>
          </w:p>
        </w:tc>
      </w:tr>
      <w:tr>
        <w:tc>
          <w:tcPr>
            <w:tcW w:type="dxa" w:w="2381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3 — Integração e operação (90 min)</w:t>
            </w:r>
          </w:p>
        </w:tc>
        <w:tc>
          <w:tcPr>
            <w:tcW w:type="dxa" w:w="2948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API MPT, arquitetura, infraestrutura, suporte</w:t>
            </w:r>
          </w:p>
        </w:tc>
        <w:tc>
          <w:tcPr>
            <w:tcW w:type="dxa" w:w="4025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Idempotência, SLO, readiness, Redis, ClamAV e incidentes.</w:t>
            </w:r>
          </w:p>
        </w:tc>
      </w:tr>
      <w:tr>
        <w:tc>
          <w:tcPr>
            <w:tcW w:type="dxa" w:w="2381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4 — Aceite e priorização (60 min)</w:t>
            </w:r>
          </w:p>
        </w:tc>
        <w:tc>
          <w:tcPr>
            <w:tcW w:type="dxa" w:w="2948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Todos os donos</w:t>
            </w:r>
          </w:p>
        </w:tc>
        <w:tc>
          <w:tcPr>
            <w:tcW w:type="dxa" w:w="4025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Backlog P0/P1/P2, critérios de homologação e responsáveis.</w:t>
            </w:r>
          </w:p>
        </w:tc>
      </w:tr>
    </w:tbl>
    <w:p>
      <w:pPr>
        <w:spacing w:after="120" w:before="240"/>
        <w:jc w:val="left"/>
        <w:pBdr>
          <w:bottom w:val="single" w:sz="8" w:space="1" w:color="17335C"/>
        </w:pBdr>
      </w:pPr>
      <w:r>
        <w:rPr>
          <w:rFonts w:ascii="Calibri" w:hAnsi="Calibri"/>
          <w:b/>
          <w:color w:val="17335C"/>
          <w:sz w:val="40"/>
        </w:rPr>
        <w:t>12. Recomendação executiva</w:t>
      </w:r>
    </w:p>
    <w:p>
      <w:pPr>
        <w:spacing w:after="120" w:before="0"/>
        <w:jc w:val="both"/>
      </w:pPr>
      <w:r>
        <w:rPr>
          <w:rFonts w:ascii="Calibri" w:hAnsi="Calibri"/>
          <w:b w:val="0"/>
          <w:sz w:val="22"/>
        </w:rPr>
        <w:t>Suspender novas refatorações estruturais e investir na validação dos requisitos. O melhor retorno agora vem de resolver os P0, corrigir promessas conflitantes, homologar dependências reais e obter aceite formal. Após os workshops, converter as respostas em histórias/regras com critérios de aceite e atualizar modelo TypeScript, serialização, validação backend, OpenAPI, testes e documentação de forma rastreável.</w:t>
      </w:r>
    </w:p>
    <w:p>
      <w:pPr>
        <w:spacing w:after="120" w:before="240"/>
        <w:jc w:val="left"/>
      </w:pPr>
      <w:r>
        <w:rPr>
          <w:rFonts w:ascii="Calibri" w:hAnsi="Calibri"/>
          <w:b/>
          <w:color w:val="0C6E64"/>
          <w:sz w:val="30"/>
        </w:rPr>
        <w:t>Referências analisadas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planejamento.md — objetivo, público e jornada desejada.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spec_design.md — design system, responsividade e padrões de UI.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AGENTS.md — arquitetura, guardrails e pontos desatualizados registrados como conflitos.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src/app/models/complaint.model.ts — campos e enumerações.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src/app/components/** — comportamento das etapas e revisão.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src/app/services e clients — estado, submissão e protocolo.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server/controllers, services, clients, middleware, routes, infrastructure e index.js.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server/env.template, server/README.md e Swagger.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e2e/**, specs frontend/backend e RELATORIO_TESTES_DENUNCIAS.md.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RELATORIO_FINAL_SANITIZACAO_CODEBASE_DENUNCIAS.md.</w:t>
      </w:r>
    </w:p>
    <w:p>
      <w:pPr>
        <w:spacing w:after="120" w:before="320"/>
        <w:jc w:val="center"/>
      </w:pPr>
      <w:r>
        <w:rPr>
          <w:rFonts w:ascii="Calibri" w:hAnsi="Calibri"/>
          <w:b/>
          <w:color w:val="5A5A5A"/>
          <w:sz w:val="18"/>
        </w:rPr>
        <w:t>Fim do relatório — versão 2.0. Recomenda-se revisão humana antes de distribuição externa.</w:t>
      </w:r>
    </w:p>
    <w:sectPr w:rsidR="00FC693F" w:rsidRPr="0006063C" w:rsidSect="00034616">
      <w:footerReference w:type="default" r:id="rId9"/>
      <w:pgSz w:w="12240" w:h="15840"/>
      <w:pgMar w:top="1020" w:right="964" w:bottom="102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A5A5A"/>
        <w:sz w:val="16"/>
      </w:rPr>
      <w:t xml:space="preserve">MPT • Canal de Denúncias • Requisitos V2  |  Página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Executivo de Requisitos — Canal de Denúncias</dc:title>
  <dc:subject>RF, RNF, regras, conflitos, lacunas e questionário</dc:subject>
  <dc:creator>Análise automatizada do codebase — revisão humana requerida</dc:creator>
  <cp:keywords>MPT, denúncias, requisitos, RF, RNF, LGPD, questionário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