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/>
          <w:b/>
          <w:color w:val="5A5A5A"/>
          <w:sz w:val="20"/>
        </w:rPr>
        <w:t>MINISTÉRIO PÚBLICO DO TRABALHO</w:t>
      </w:r>
    </w:p>
    <w:p>
      <w:pPr>
        <w:spacing w:after="240" w:before="0"/>
        <w:jc w:val="center"/>
      </w:pPr>
      <w:r>
        <w:rPr>
          <w:rFonts w:ascii="Calibri" w:hAnsi="Calibri"/>
          <w:b w:val="0"/>
          <w:color w:val="5A5A5A"/>
          <w:sz w:val="20"/>
        </w:rPr>
        <w:t>Canal de Denúncias da Cidadania</w:t>
      </w:r>
    </w:p>
    <w:p>
      <w:pPr>
        <w:spacing w:after="0" w:before="0"/>
        <w:jc w:val="center"/>
      </w:pPr>
      <w:r>
        <w:rPr>
          <w:rFonts w:ascii="Calibri" w:hAnsi="Calibri"/>
          <w:b/>
          <w:color w:val="17335C"/>
          <w:sz w:val="52"/>
        </w:rPr>
        <w:t>Relatório Executivo de Testes</w:t>
      </w:r>
    </w:p>
    <w:p>
      <w:pPr>
        <w:spacing w:after="240" w:before="0"/>
        <w:jc w:val="center"/>
      </w:pPr>
      <w:r>
        <w:rPr>
          <w:rFonts w:ascii="Calibri" w:hAnsi="Calibri"/>
          <w:b w:val="0"/>
          <w:color w:val="0C6E64"/>
          <w:sz w:val="28"/>
        </w:rPr>
        <w:t>Unitários, integração, E2E e regressão</w:t>
      </w:r>
    </w:p>
    <w:p>
      <w:pPr>
        <w:spacing w:after="360" w:before="0"/>
        <w:jc w:val="center"/>
      </w:pPr>
      <w:r>
        <w:rPr>
          <w:rFonts w:ascii="Calibri" w:hAnsi="Calibri"/>
          <w:b w:val="0"/>
          <w:color w:val="5A5A5A"/>
          <w:sz w:val="20"/>
        </w:rPr>
        <w:t>Execução local em 24/07/2026  |  Node 22.22.3  |  Branch: refactor/frontend-architecture</w:t>
      </w:r>
    </w:p>
    <w:p>
      <w:pPr>
        <w:spacing w:after="120" w:before="240"/>
        <w:jc w:val="left"/>
        <w:pBdr>
          <w:bottom w:val="single" w:sz="8" w:space="1" w:color="17335C"/>
        </w:pBdr>
      </w:pPr>
      <w:r>
        <w:rPr>
          <w:rFonts w:ascii="Calibri" w:hAnsi="Calibri"/>
          <w:b/>
          <w:color w:val="17335C"/>
          <w:sz w:val="40"/>
        </w:rPr>
        <w:t>Sumário executivo</w:t>
      </w:r>
    </w:p>
    <w:p>
      <w:pPr>
        <w:spacing w:after="120" w:before="0"/>
        <w:jc w:val="both"/>
      </w:pPr>
      <w:r>
        <w:rPr>
          <w:rFonts w:ascii="Calibri" w:hAnsi="Calibri"/>
          <w:b w:val="0"/>
          <w:sz w:val="22"/>
        </w:rPr>
        <w:t>Todas as suítes de teste foram executadas na branch de refatoração e passaram sem falhas. A régua de testes cobre correção do fluxo (falso sucesso), contrato HTTP, upload seguro com antivírus, perímetro do backend, arquitetura em camadas, acessibilidade WCAG e regressão em três motores de navegador.</w:t>
      </w:r>
    </w:p>
    <w:p>
      <w:pPr>
        <w:spacing w:after="120" w:before="120"/>
        <w:jc w:val="left"/>
      </w:pPr>
      <w:r>
        <w:rPr>
          <w:rFonts w:ascii="Calibri" w:hAnsi="Calibri"/>
          <w:b/>
          <w:color w:val="2E7D32"/>
          <w:sz w:val="24"/>
        </w:rPr>
        <w:t>Resultado consolidado: 54 casos executados, 54 aprovados, 0 falhas.</w:t>
      </w:r>
    </w:p>
    <w:p>
      <w:pPr>
        <w:spacing w:after="120" w:before="240"/>
        <w:jc w:val="left"/>
      </w:pPr>
      <w:r>
        <w:rPr>
          <w:rFonts w:ascii="Calibri" w:hAnsi="Calibri"/>
          <w:b/>
          <w:color w:val="0C6E64"/>
          <w:sz w:val="30"/>
        </w:rPr>
        <w:t>Painel de resultados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835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Suíte</w:t>
            </w:r>
          </w:p>
        </w:tc>
        <w:tc>
          <w:tcPr>
            <w:tcW w:type="dxa" w:w="2551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Ferramenta</w:t>
            </w:r>
          </w:p>
        </w:tc>
        <w:tc>
          <w:tcPr>
            <w:tcW w:type="dxa" w:w="1417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1417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OK</w:t>
            </w:r>
          </w:p>
        </w:tc>
        <w:tc>
          <w:tcPr>
            <w:tcW w:type="dxa" w:w="1134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Falhas</w:t>
            </w:r>
          </w:p>
        </w:tc>
      </w:tr>
      <w:tr>
        <w:tc>
          <w:tcPr>
            <w:tcW w:type="dxa" w:w="2835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Unitários — Backend</w:t>
            </w:r>
          </w:p>
        </w:tc>
        <w:tc>
          <w:tcPr>
            <w:tcW w:type="dxa" w:w="255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Vitest 4.1.10</w:t>
            </w:r>
          </w:p>
        </w:tc>
        <w:tc>
          <w:tcPr>
            <w:tcW w:type="dxa" w:w="141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22</w:t>
            </w:r>
          </w:p>
        </w:tc>
        <w:tc>
          <w:tcPr>
            <w:tcW w:type="dxa" w:w="141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22</w:t>
            </w:r>
          </w:p>
        </w:tc>
        <w:tc>
          <w:tcPr>
            <w:tcW w:type="dxa" w:w="113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20"/>
              </w:rPr>
              <w:t>0</w:t>
            </w:r>
          </w:p>
        </w:tc>
      </w:tr>
      <w:tr>
        <w:tc>
          <w:tcPr>
            <w:tcW w:type="dxa" w:w="2835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Integração — Backend</w:t>
            </w:r>
          </w:p>
        </w:tc>
        <w:tc>
          <w:tcPr>
            <w:tcW w:type="dxa" w:w="255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Vitest + Supertest</w:t>
            </w:r>
          </w:p>
        </w:tc>
        <w:tc>
          <w:tcPr>
            <w:tcW w:type="dxa" w:w="141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41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13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20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Unitários — Frontend</w:t>
            </w:r>
          </w:p>
        </w:tc>
        <w:tc>
          <w:tcPr>
            <w:tcW w:type="dxa" w:w="255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Vitest via Angular</w:t>
            </w:r>
          </w:p>
        </w:tc>
        <w:tc>
          <w:tcPr>
            <w:tcW w:type="dxa" w:w="141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41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13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20"/>
              </w:rPr>
              <w:t>0</w:t>
            </w:r>
          </w:p>
        </w:tc>
      </w:tr>
      <w:tr>
        <w:tc>
          <w:tcPr>
            <w:tcW w:type="dxa" w:w="2835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E2E funcional + regressão</w:t>
            </w:r>
          </w:p>
        </w:tc>
        <w:tc>
          <w:tcPr>
            <w:tcW w:type="dxa" w:w="255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Playwright</w:t>
            </w:r>
          </w:p>
        </w:tc>
        <w:tc>
          <w:tcPr>
            <w:tcW w:type="dxa" w:w="141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141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113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20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E2E acessibilidade</w:t>
            </w:r>
          </w:p>
        </w:tc>
        <w:tc>
          <w:tcPr>
            <w:tcW w:type="dxa" w:w="255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Playwright + axe-core</w:t>
            </w:r>
          </w:p>
        </w:tc>
        <w:tc>
          <w:tcPr>
            <w:tcW w:type="dxa" w:w="141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41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13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20"/>
              </w:rPr>
              <w:t>0</w:t>
            </w:r>
          </w:p>
        </w:tc>
      </w:tr>
      <w:tr>
        <w:tc>
          <w:tcPr>
            <w:tcW w:type="dxa" w:w="2835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Lint — Frontend</w:t>
            </w:r>
          </w:p>
        </w:tc>
        <w:tc>
          <w:tcPr>
            <w:tcW w:type="dxa" w:w="255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ESLint</w:t>
            </w:r>
          </w:p>
        </w:tc>
        <w:tc>
          <w:tcPr>
            <w:tcW w:type="dxa" w:w="141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41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0 erros</w:t>
            </w:r>
          </w:p>
        </w:tc>
        <w:tc>
          <w:tcPr>
            <w:tcW w:type="dxa" w:w="113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20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Lint — Backend</w:t>
            </w:r>
          </w:p>
        </w:tc>
        <w:tc>
          <w:tcPr>
            <w:tcW w:type="dxa" w:w="255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ESLint</w:t>
            </w:r>
          </w:p>
        </w:tc>
        <w:tc>
          <w:tcPr>
            <w:tcW w:type="dxa" w:w="141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41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0 erros</w:t>
            </w:r>
          </w:p>
        </w:tc>
        <w:tc>
          <w:tcPr>
            <w:tcW w:type="dxa" w:w="113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20"/>
              </w:rPr>
              <w:t>0</w:t>
            </w:r>
          </w:p>
        </w:tc>
      </w:tr>
      <w:tr>
        <w:tc>
          <w:tcPr>
            <w:tcW w:type="dxa" w:w="2835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Auditoria produção — Frontend</w:t>
            </w:r>
          </w:p>
        </w:tc>
        <w:tc>
          <w:tcPr>
            <w:tcW w:type="dxa" w:w="2551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npm audit --omit=dev</w:t>
            </w:r>
          </w:p>
        </w:tc>
        <w:tc>
          <w:tcPr>
            <w:tcW w:type="dxa" w:w="141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99 deps</w:t>
            </w:r>
          </w:p>
        </w:tc>
        <w:tc>
          <w:tcPr>
            <w:tcW w:type="dxa" w:w="141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0 vulns</w:t>
            </w:r>
          </w:p>
        </w:tc>
        <w:tc>
          <w:tcPr>
            <w:tcW w:type="dxa" w:w="113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20"/>
              </w:rPr>
              <w:t>0</w:t>
            </w:r>
          </w:p>
        </w:tc>
      </w:tr>
      <w:tr>
        <w:tc>
          <w:tcPr>
            <w:tcW w:type="dxa" w:w="2835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Auditoria produção — Backend</w:t>
            </w:r>
          </w:p>
        </w:tc>
        <w:tc>
          <w:tcPr>
            <w:tcW w:type="dxa" w:w="2551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npm audit --omit=dev</w:t>
            </w:r>
          </w:p>
        </w:tc>
        <w:tc>
          <w:tcPr>
            <w:tcW w:type="dxa" w:w="141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150 deps</w:t>
            </w:r>
          </w:p>
        </w:tc>
        <w:tc>
          <w:tcPr>
            <w:tcW w:type="dxa" w:w="141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0 vulns</w:t>
            </w:r>
          </w:p>
        </w:tc>
        <w:tc>
          <w:tcPr>
            <w:tcW w:type="dxa" w:w="113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20"/>
              </w:rPr>
              <w:t>0</w:t>
            </w:r>
          </w:p>
        </w:tc>
      </w:tr>
    </w:tbl>
    <w:p>
      <w:pPr>
        <w:spacing w:after="120" w:before="240"/>
        <w:jc w:val="left"/>
        <w:pBdr>
          <w:bottom w:val="single" w:sz="8" w:space="1" w:color="17335C"/>
        </w:pBdr>
      </w:pPr>
      <w:r>
        <w:rPr>
          <w:rFonts w:ascii="Calibri" w:hAnsi="Calibri"/>
          <w:b/>
          <w:color w:val="17335C"/>
          <w:sz w:val="40"/>
        </w:rPr>
        <w:t>Backend — Vitest (30 casos, 1,79 s)</w:t>
      </w:r>
    </w:p>
    <w:p>
      <w:pPr>
        <w:spacing w:after="120" w:before="240"/>
        <w:jc w:val="left"/>
      </w:pPr>
      <w:r>
        <w:rPr>
          <w:rFonts w:ascii="Calibri" w:hAnsi="Calibri"/>
          <w:b/>
          <w:color w:val="17335C"/>
          <w:sz w:val="24"/>
        </w:rPr>
        <w:t>Regras da denúncia (services)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Gera protocolo com formato esperado.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Permite geração determinística de protocolo em testes.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Aceita denúncia completa.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Reporta ausência de localização e descrição obrigatória.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Aceita relato escrito quando nenhuma irregularidade é marcada.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Constrói payload de integração e deriva sigilo/anonimato.</w:t>
      </w:r>
    </w:p>
    <w:p>
      <w:pPr>
        <w:spacing w:after="120" w:before="240"/>
        <w:jc w:val="left"/>
      </w:pPr>
      <w:r>
        <w:rPr>
          <w:rFonts w:ascii="Calibri" w:hAnsi="Calibri"/>
          <w:b/>
          <w:color w:val="17335C"/>
          <w:sz w:val="24"/>
        </w:rPr>
        <w:t>Cliente ClamAV (antimalware)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Encaminha arquivo limpo usando o framing oficial INSTREAM.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Rejeita arquivo quando o ClamAV reporta ameaça.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Falha fechada quando o scanner não está configurado.</w:t>
      </w:r>
    </w:p>
    <w:p>
      <w:pPr>
        <w:spacing w:after="120" w:before="240"/>
        <w:jc w:val="left"/>
      </w:pPr>
      <w:r>
        <w:rPr>
          <w:rFonts w:ascii="Calibri" w:hAnsi="Calibri"/>
          <w:b/>
          <w:color w:val="17335C"/>
          <w:sz w:val="24"/>
        </w:rPr>
        <w:t>Cliente da API interna do MPT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Rejeita requisição quando MPT_API_URL não está configurada.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Envia denúncia como multipart com timeout configurado.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Encaminha autenticação e anexos para a API MPT.</w:t>
      </w:r>
    </w:p>
    <w:p>
      <w:pPr>
        <w:spacing w:after="120" w:before="240"/>
        <w:jc w:val="left"/>
      </w:pPr>
      <w:r>
        <w:rPr>
          <w:rFonts w:ascii="Calibri" w:hAnsi="Calibri"/>
          <w:b/>
          <w:color w:val="17335C"/>
          <w:sz w:val="24"/>
        </w:rPr>
        <w:t>Store de rate limit em Redis (3 réplicas)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Usa store em memória fora de produção quando Redis não é configurado.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Conecta store externo usando URL e prefixo configurados.</w:t>
      </w:r>
    </w:p>
    <w:p>
      <w:pPr>
        <w:spacing w:after="120" w:before="240"/>
        <w:jc w:val="left"/>
      </w:pPr>
      <w:r>
        <w:rPr>
          <w:rFonts w:ascii="Calibri" w:hAnsi="Calibri"/>
          <w:b/>
          <w:color w:val="17335C"/>
          <w:sz w:val="24"/>
        </w:rPr>
        <w:t>Middleware de upload seguro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Grava anexos fora da memória e remove arquivo temporário após uso.</w:t>
      </w:r>
    </w:p>
    <w:p>
      <w:pPr>
        <w:spacing w:after="120" w:before="240"/>
        <w:jc w:val="left"/>
      </w:pPr>
      <w:r>
        <w:rPr>
          <w:rFonts w:ascii="Calibri" w:hAnsi="Calibri"/>
          <w:b/>
          <w:color w:val="17335C"/>
          <w:sz w:val="24"/>
        </w:rPr>
        <w:t>Controller de recebimento (integração)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400 quando o campo denúncia não é JSON válido.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422 quando dados obrigatórios estão faltando.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201 apenas quando a API interna do MPT aceita.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502 sem resposta de sucesso quando a API interna falha.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503 sem resposta de sucesso quando MPT_API_URL está ausente.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Rejeita anexo quando o antivírus reporta ameaça.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Falha fechada quando a varredura de anexos não está disponível.</w:t>
      </w:r>
    </w:p>
    <w:p>
      <w:pPr>
        <w:spacing w:after="120" w:before="240"/>
        <w:jc w:val="left"/>
      </w:pPr>
      <w:r>
        <w:rPr>
          <w:rFonts w:ascii="Calibri" w:hAnsi="Calibri"/>
          <w:b/>
          <w:color w:val="17335C"/>
          <w:sz w:val="24"/>
        </w:rPr>
        <w:t>Upload seguro — integração ponta a ponta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Endpoint Express real → disco temporário → ClamAV TCP simulado → multipart → API MPT HTTP simulada.</w:t>
      </w:r>
    </w:p>
    <w:p>
      <w:pPr>
        <w:spacing w:after="120" w:before="240"/>
        <w:jc w:val="left"/>
      </w:pPr>
      <w:r>
        <w:rPr>
          <w:rFonts w:ascii="Calibri" w:hAnsi="Calibri"/>
          <w:b/>
          <w:color w:val="17335C"/>
          <w:sz w:val="24"/>
        </w:rPr>
        <w:t>Perímetro do servidor (index)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Health endpoint fica fora do rate limit de submissão.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Limita submissões repetidas do endpoint de denúncia.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Aceita apenas a origem configurada em produção (CORS).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Swagger fica desabilitado por padrão em produção.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Permite opt-in explícito para o Swagger em produção.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Não sobe em produção sem configuração obrigatória.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Sobe em produção usando o store de rate limit compartilhado.</w:t>
      </w:r>
    </w:p>
    <w:p>
      <w:pPr>
        <w:spacing w:after="120" w:before="240"/>
        <w:jc w:val="left"/>
        <w:pBdr>
          <w:bottom w:val="single" w:sz="8" w:space="1" w:color="17335C"/>
        </w:pBdr>
      </w:pPr>
      <w:r>
        <w:rPr>
          <w:rFonts w:ascii="Calibri" w:hAnsi="Calibri"/>
          <w:b/>
          <w:color w:val="17335C"/>
          <w:sz w:val="40"/>
        </w:rPr>
        <w:t>Frontend — Vitest via Angular (8 casos, 15,89 s)</w:t>
      </w:r>
    </w:p>
    <w:p>
      <w:pPr>
        <w:spacing w:after="120" w:before="240"/>
        <w:jc w:val="left"/>
      </w:pPr>
      <w:r>
        <w:rPr>
          <w:rFonts w:ascii="Calibri" w:hAnsi="Calibri"/>
          <w:b/>
          <w:color w:val="17335C"/>
          <w:sz w:val="24"/>
        </w:rPr>
        <w:t>Cliente HTTP de denúncia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Serializa dados e anexos como multipart.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Rejeita resposta HTTP sem sucesso.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Rejeita resposta de sucesso sem protocolo válido (evita falso sucesso).</w:t>
      </w:r>
    </w:p>
    <w:p>
      <w:pPr>
        <w:spacing w:after="120" w:before="240"/>
        <w:jc w:val="left"/>
      </w:pPr>
      <w:r>
        <w:rPr>
          <w:rFonts w:ascii="Calibri" w:hAnsi="Calibri"/>
          <w:b/>
          <w:color w:val="17335C"/>
          <w:sz w:val="24"/>
        </w:rPr>
        <w:t>Serviço de estado da denúncia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Inicia no passo de boas-vindas com valores padrão.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Atualiza dados e mantém navegação entre passos dentro dos limites.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Envia a denúncia atual e guarda o protocolo devolvido.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Expõe falha visível após erro do cliente — sem simular sucesso.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Limpa a falha visível quando uma nova tentativa é bem-sucedida.</w:t>
      </w:r>
    </w:p>
    <w:p>
      <w:pPr>
        <w:spacing w:after="120" w:before="240"/>
        <w:jc w:val="left"/>
        <w:pBdr>
          <w:bottom w:val="single" w:sz="8" w:space="1" w:color="17335C"/>
        </w:pBdr>
      </w:pPr>
      <w:r>
        <w:rPr>
          <w:rFonts w:ascii="Calibri" w:hAnsi="Calibri"/>
          <w:b/>
          <w:color w:val="17335C"/>
          <w:sz w:val="40"/>
        </w:rPr>
        <w:t>E2E — Playwright + axe-core (16 execuções)</w:t>
      </w:r>
    </w:p>
    <w:p>
      <w:pPr>
        <w:spacing w:after="120" w:before="0"/>
        <w:jc w:val="left"/>
      </w:pPr>
      <w:r>
        <w:rPr>
          <w:rFonts w:ascii="Calibri" w:hAnsi="Calibri"/>
          <w:b w:val="0"/>
          <w:color w:val="5A5A5A"/>
          <w:sz w:val="20"/>
        </w:rPr>
        <w:t>Última corrida oficial: test-results/.last-run.json → status: passed, sem falhas.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3118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Cenário</w:t>
            </w:r>
          </w:p>
        </w:tc>
        <w:tc>
          <w:tcPr>
            <w:tcW w:type="dxa" w:w="1417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134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Chrome Desktop</w:t>
            </w:r>
          </w:p>
        </w:tc>
        <w:tc>
          <w:tcPr>
            <w:tcW w:type="dxa" w:w="1134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Chrome Mobile</w:t>
            </w:r>
          </w:p>
        </w:tc>
        <w:tc>
          <w:tcPr>
            <w:tcW w:type="dxa" w:w="1134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Firefox</w:t>
            </w:r>
          </w:p>
        </w:tc>
        <w:tc>
          <w:tcPr>
            <w:tcW w:type="dxa" w:w="1417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Safari (WebKit)</w:t>
            </w:r>
          </w:p>
        </w:tc>
      </w:tr>
      <w:tr>
        <w:tc>
          <w:tcPr>
            <w:tcW w:type="dxa" w:w="311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Preenche, navega e conclui denúncia simulada</w:t>
            </w:r>
          </w:p>
        </w:tc>
        <w:tc>
          <w:tcPr>
            <w:tcW w:type="dxa" w:w="141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Funcional</w:t>
            </w:r>
          </w:p>
        </w:tc>
        <w:tc>
          <w:tcPr>
            <w:tcW w:type="dxa" w:w="113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20"/>
              </w:rPr>
              <w:t>✅</w:t>
            </w:r>
          </w:p>
        </w:tc>
        <w:tc>
          <w:tcPr>
            <w:tcW w:type="dxa" w:w="113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20"/>
              </w:rPr>
              <w:t>✅</w:t>
            </w:r>
          </w:p>
        </w:tc>
        <w:tc>
          <w:tcPr>
            <w:tcW w:type="dxa" w:w="113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20"/>
              </w:rPr>
              <w:t>✅</w:t>
            </w:r>
          </w:p>
        </w:tc>
        <w:tc>
          <w:tcPr>
            <w:tcW w:type="dxa" w:w="141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20"/>
              </w:rPr>
              <w:t>✅</w:t>
            </w:r>
          </w:p>
        </w:tc>
      </w:tr>
      <w:tr>
        <w:tc>
          <w:tcPr>
            <w:tcW w:type="dxa" w:w="311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Mantém revisão, exibe falha e permite nova tentativa</w:t>
            </w:r>
          </w:p>
        </w:tc>
        <w:tc>
          <w:tcPr>
            <w:tcW w:type="dxa" w:w="141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Regressão</w:t>
            </w:r>
          </w:p>
        </w:tc>
        <w:tc>
          <w:tcPr>
            <w:tcW w:type="dxa" w:w="113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20"/>
              </w:rPr>
              <w:t>✅</w:t>
            </w:r>
          </w:p>
        </w:tc>
        <w:tc>
          <w:tcPr>
            <w:tcW w:type="dxa" w:w="113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20"/>
              </w:rPr>
              <w:t>✅</w:t>
            </w:r>
          </w:p>
        </w:tc>
        <w:tc>
          <w:tcPr>
            <w:tcW w:type="dxa" w:w="113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20"/>
              </w:rPr>
              <w:t>✅</w:t>
            </w:r>
          </w:p>
        </w:tc>
        <w:tc>
          <w:tcPr>
            <w:tcW w:type="dxa" w:w="141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20"/>
              </w:rPr>
              <w:t>✅</w:t>
            </w:r>
          </w:p>
        </w:tc>
      </w:tr>
      <w:tr>
        <w:tc>
          <w:tcPr>
            <w:tcW w:type="dxa" w:w="311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Não confirma denúncia sem protocolo válido</w:t>
            </w:r>
          </w:p>
        </w:tc>
        <w:tc>
          <w:tcPr>
            <w:tcW w:type="dxa" w:w="141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Regressão</w:t>
            </w:r>
          </w:p>
        </w:tc>
        <w:tc>
          <w:tcPr>
            <w:tcW w:type="dxa" w:w="113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20"/>
              </w:rPr>
              <w:t>✅</w:t>
            </w:r>
          </w:p>
        </w:tc>
        <w:tc>
          <w:tcPr>
            <w:tcW w:type="dxa" w:w="113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20"/>
              </w:rPr>
              <w:t>✅</w:t>
            </w:r>
          </w:p>
        </w:tc>
        <w:tc>
          <w:tcPr>
            <w:tcW w:type="dxa" w:w="113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20"/>
              </w:rPr>
              <w:t>✅</w:t>
            </w:r>
          </w:p>
        </w:tc>
        <w:tc>
          <w:tcPr>
            <w:tcW w:type="dxa" w:w="1417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20"/>
              </w:rPr>
              <w:t>✅</w:t>
            </w:r>
          </w:p>
        </w:tc>
      </w:tr>
      <w:tr>
        <w:tc>
          <w:tcPr>
            <w:tcW w:type="dxa" w:w="311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Baseline automatizada de acessibilidade</w:t>
            </w:r>
          </w:p>
        </w:tc>
        <w:tc>
          <w:tcPr>
            <w:tcW w:type="dxa" w:w="141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Acessibilidade</w:t>
            </w:r>
          </w:p>
        </w:tc>
        <w:tc>
          <w:tcPr>
            <w:tcW w:type="dxa" w:w="113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20"/>
              </w:rPr>
              <w:t>✅</w:t>
            </w:r>
          </w:p>
        </w:tc>
        <w:tc>
          <w:tcPr>
            <w:tcW w:type="dxa" w:w="113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20"/>
              </w:rPr>
              <w:t>✅</w:t>
            </w:r>
          </w:p>
        </w:tc>
        <w:tc>
          <w:tcPr>
            <w:tcW w:type="dxa" w:w="113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20"/>
              </w:rPr>
              <w:t>✅</w:t>
            </w:r>
          </w:p>
        </w:tc>
        <w:tc>
          <w:tcPr>
            <w:tcW w:type="dxa" w:w="1417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2E7D32"/>
                <w:sz w:val="20"/>
              </w:rPr>
              <w:t>✅</w:t>
            </w:r>
          </w:p>
        </w:tc>
      </w:tr>
    </w:tbl>
    <w:p>
      <w:pPr>
        <w:spacing w:after="120" w:before="240"/>
        <w:jc w:val="left"/>
      </w:pPr>
      <w:r>
        <w:rPr>
          <w:rFonts w:ascii="Calibri" w:hAnsi="Calibri"/>
          <w:b/>
          <w:color w:val="17335C"/>
          <w:sz w:val="24"/>
        </w:rPr>
        <w:t>Cobertura observada nos E2E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Preenchimento, navegação, upload de PDF e leitura do protocolo devolvido.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Ao receber 503, alerta é exibido e revisão preserva os dados; nova tentativa com 201 conclui.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201 sem protocolo válido não confirma a denúncia; alerta é exibido.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Análise axe com regras WCAG 2.0/2.1 A e AA — nenhuma violação critical/serious.</w:t>
      </w:r>
    </w:p>
    <w:p>
      <w:pPr>
        <w:spacing w:after="120" w:before="240"/>
        <w:jc w:val="left"/>
        <w:pBdr>
          <w:bottom w:val="single" w:sz="8" w:space="1" w:color="17335C"/>
        </w:pBdr>
      </w:pPr>
      <w:r>
        <w:rPr>
          <w:rFonts w:ascii="Calibri" w:hAnsi="Calibri"/>
          <w:b/>
          <w:color w:val="17335C"/>
          <w:sz w:val="40"/>
        </w:rPr>
        <w:t>Testes de regressão — o que cada bloco protege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Incremento</w:t>
            </w:r>
          </w:p>
        </w:tc>
        <w:tc>
          <w:tcPr>
            <w:tcW w:type="dxa" w:w="3402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Regressão evitada</w:t>
            </w:r>
          </w:p>
        </w:tc>
        <w:tc>
          <w:tcPr>
            <w:tcW w:type="dxa" w:w="4535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Testes que protegem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402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Falso sucesso no frontend</w:t>
            </w:r>
          </w:p>
        </w:tc>
        <w:tc>
          <w:tcPr>
            <w:tcW w:type="dxa" w:w="4535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Frontend cliente/serviço + E2E de falha e ausência de protocolo</w:t>
            </w:r>
          </w:p>
        </w:tc>
      </w:tr>
      <w:tr>
        <w:tc>
          <w:tcPr>
            <w:tcW w:type="dxa" w:w="113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402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Contrato HTTP 201/422/502/503</w:t>
            </w:r>
          </w:p>
        </w:tc>
        <w:tc>
          <w:tcPr>
            <w:tcW w:type="dxa" w:w="4535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Backend controller + E2E funcional e sem protocolo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3402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Regras extraídas do controller</w:t>
            </w:r>
          </w:p>
        </w:tc>
        <w:tc>
          <w:tcPr>
            <w:tcW w:type="dxa" w:w="4535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Backend services + controller aprovando 201</w:t>
            </w:r>
          </w:p>
        </w:tc>
      </w:tr>
      <w:tr>
        <w:tc>
          <w:tcPr>
            <w:tcW w:type="dxa" w:w="113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3402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Perímetro (rate limit, CORS, Swagger, fail-fast)</w:t>
            </w:r>
          </w:p>
        </w:tc>
        <w:tc>
          <w:tcPr>
            <w:tcW w:type="dxa" w:w="4535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Backend index (7 casos)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3402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Cliente HTTP no frontend</w:t>
            </w:r>
          </w:p>
        </w:tc>
        <w:tc>
          <w:tcPr>
            <w:tcW w:type="dxa" w:w="4535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Frontend cliente (3 casos)</w:t>
            </w:r>
          </w:p>
        </w:tc>
      </w:tr>
      <w:tr>
        <w:tc>
          <w:tcPr>
            <w:tcW w:type="dxa" w:w="113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type="dxa" w:w="3402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Rate limit consistente entre 3 réplicas</w:t>
            </w:r>
          </w:p>
        </w:tc>
        <w:tc>
          <w:tcPr>
            <w:tcW w:type="dxa" w:w="4535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Store Redis + perímetro em produção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17</w:t>
            </w:r>
          </w:p>
        </w:tc>
        <w:tc>
          <w:tcPr>
            <w:tcW w:type="dxa" w:w="3402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Upload seguro com antimalware</w:t>
            </w:r>
          </w:p>
        </w:tc>
        <w:tc>
          <w:tcPr>
            <w:tcW w:type="dxa" w:w="4535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ClamAV + middleware + controller (ameaça/indisponível) + integração</w:t>
            </w:r>
          </w:p>
        </w:tc>
      </w:tr>
      <w:tr>
        <w:tc>
          <w:tcPr>
            <w:tcW w:type="dxa" w:w="113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3402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Acessibilidade WCAG</w:t>
            </w:r>
          </w:p>
        </w:tc>
        <w:tc>
          <w:tcPr>
            <w:tcW w:type="dxa" w:w="4535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E2E axe (4 execuções)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3402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Jornada real da denúncia</w:t>
            </w:r>
          </w:p>
        </w:tc>
        <w:tc>
          <w:tcPr>
            <w:tcW w:type="dxa" w:w="4535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E2E funcional (4 execuções)</w:t>
            </w:r>
          </w:p>
        </w:tc>
      </w:tr>
      <w:tr>
        <w:tc>
          <w:tcPr>
            <w:tcW w:type="dxa" w:w="1134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14/15</w:t>
            </w:r>
          </w:p>
        </w:tc>
        <w:tc>
          <w:tcPr>
            <w:tcW w:type="dxa" w:w="3402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Cobertura Firefox e WebKit/Safari</w:t>
            </w:r>
          </w:p>
        </w:tc>
        <w:tc>
          <w:tcPr>
            <w:tcW w:type="dxa" w:w="4535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Projetos firefox-desktop e webkit-desktop</w:t>
            </w:r>
          </w:p>
        </w:tc>
      </w:tr>
    </w:tbl>
    <w:p>
      <w:pPr>
        <w:spacing w:after="120" w:before="240"/>
        <w:jc w:val="left"/>
        <w:pBdr>
          <w:bottom w:val="single" w:sz="8" w:space="1" w:color="17335C"/>
        </w:pBdr>
      </w:pPr>
      <w:r>
        <w:rPr>
          <w:rFonts w:ascii="Calibri" w:hAnsi="Calibri"/>
          <w:b/>
          <w:color w:val="17335C"/>
          <w:sz w:val="40"/>
        </w:rPr>
        <w:t>Qualidade estática e dependências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Verificação</w:t>
            </w:r>
          </w:p>
        </w:tc>
        <w:tc>
          <w:tcPr>
            <w:tcW w:type="dxa" w:w="3402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Comando</w:t>
            </w:r>
          </w:p>
        </w:tc>
        <w:tc>
          <w:tcPr>
            <w:tcW w:type="dxa" w:w="2268"/>
            <w:vAlign w:val="center"/>
            <w:shd w:val="clear" w:color="auto" w:fill="17335C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3402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Lint frontend</w:t>
            </w:r>
          </w:p>
        </w:tc>
        <w:tc>
          <w:tcPr>
            <w:tcW w:type="dxa" w:w="3402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eslint src/**/*.{ts,html}</w:t>
            </w:r>
          </w:p>
        </w:tc>
        <w:tc>
          <w:tcPr>
            <w:tcW w:type="dxa" w:w="226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0 erros / 0 avisos</w:t>
            </w:r>
          </w:p>
        </w:tc>
      </w:tr>
      <w:tr>
        <w:tc>
          <w:tcPr>
            <w:tcW w:type="dxa" w:w="3402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Lint backend</w:t>
            </w:r>
          </w:p>
        </w:tc>
        <w:tc>
          <w:tcPr>
            <w:tcW w:type="dxa" w:w="3402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eslint **/*.js (server)</w:t>
            </w:r>
          </w:p>
        </w:tc>
        <w:tc>
          <w:tcPr>
            <w:tcW w:type="dxa" w:w="226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0 erros / 0 avisos</w:t>
            </w:r>
          </w:p>
        </w:tc>
      </w:tr>
      <w:tr>
        <w:tc>
          <w:tcPr>
            <w:tcW w:type="dxa" w:w="3402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Vulnerabilidades frontend (produção)</w:t>
            </w:r>
          </w:p>
        </w:tc>
        <w:tc>
          <w:tcPr>
            <w:tcW w:type="dxa" w:w="3402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npm audit --omit=dev</w:t>
            </w:r>
          </w:p>
        </w:tc>
        <w:tc>
          <w:tcPr>
            <w:tcW w:type="dxa" w:w="226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0 em 99 deps</w:t>
            </w:r>
          </w:p>
        </w:tc>
      </w:tr>
      <w:tr>
        <w:tc>
          <w:tcPr>
            <w:tcW w:type="dxa" w:w="3402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Vulnerabilidades backend (produção)</w:t>
            </w:r>
          </w:p>
        </w:tc>
        <w:tc>
          <w:tcPr>
            <w:tcW w:type="dxa" w:w="3402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npm audit --omit=dev</w:t>
            </w:r>
          </w:p>
        </w:tc>
        <w:tc>
          <w:tcPr>
            <w:tcW w:type="dxa" w:w="2268"/>
            <w:vAlign w:val="center"/>
            <w:shd w:val="clear" w:color="auto" w:fill="F0F0F0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0 em 150 deps</w:t>
            </w:r>
          </w:p>
        </w:tc>
      </w:tr>
      <w:tr>
        <w:tc>
          <w:tcPr>
            <w:tcW w:type="dxa" w:w="3402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Contrato OpenAPI</w:t>
            </w:r>
          </w:p>
        </w:tc>
        <w:tc>
          <w:tcPr>
            <w:tcW w:type="dxa" w:w="3402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redocly lint</w:t>
            </w:r>
          </w:p>
        </w:tc>
        <w:tc>
          <w:tcPr>
            <w:tcW w:type="dxa" w:w="2268"/>
            <w:vAlign w:val="center"/>
            <w:tcBorders>
              <w:top w:val="single" w:sz="6" w:space="0" w:color="17335C"/>
              <w:left w:val="single" w:sz="6" w:space="0" w:color="17335C"/>
              <w:bottom w:val="single" w:sz="6" w:space="0" w:color="17335C"/>
              <w:right w:val="single" w:sz="6" w:space="0" w:color="17335C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sz w:val="20"/>
              </w:rPr>
              <w:t>válido; apenas avisos documentais</w:t>
            </w:r>
          </w:p>
        </w:tc>
      </w:tr>
    </w:tbl>
    <w:p>
      <w:pPr>
        <w:spacing w:after="120" w:before="240"/>
        <w:jc w:val="left"/>
        <w:pBdr>
          <w:bottom w:val="single" w:sz="8" w:space="1" w:color="17335C"/>
        </w:pBdr>
      </w:pPr>
      <w:r>
        <w:rPr>
          <w:rFonts w:ascii="Calibri" w:hAnsi="Calibri"/>
          <w:b/>
          <w:color w:val="17335C"/>
          <w:sz w:val="40"/>
        </w:rPr>
        <w:t>Conclusão</w:t>
      </w:r>
    </w:p>
    <w:p>
      <w:pPr>
        <w:spacing w:after="120" w:before="0"/>
        <w:jc w:val="both"/>
      </w:pPr>
      <w:r>
        <w:rPr>
          <w:rFonts w:ascii="Calibri" w:hAnsi="Calibri"/>
          <w:b w:val="0"/>
          <w:sz w:val="22"/>
        </w:rPr>
        <w:t>Não há falhas de teste conhecidas. A cobertura automatizada existe para os cenários críticos de correção, contrato e segurança do fluxo de denúncia, e é executada em três motores de navegador antes de qualquer entrega.</w:t>
      </w:r>
    </w:p>
    <w:p>
      <w:pPr>
        <w:spacing w:after="120" w:before="120"/>
        <w:jc w:val="left"/>
      </w:pPr>
      <w:r>
        <w:rPr>
          <w:rFonts w:ascii="Calibri" w:hAnsi="Calibri"/>
          <w:b/>
          <w:color w:val="2E7D32"/>
          <w:sz w:val="24"/>
        </w:rPr>
        <w:t>Status técnico: 54/54 aprovados.</w:t>
      </w:r>
    </w:p>
    <w:p>
      <w:pPr>
        <w:spacing w:after="120" w:before="0"/>
        <w:jc w:val="left"/>
      </w:pPr>
      <w:r>
        <w:rPr>
          <w:rFonts w:ascii="Calibri" w:hAnsi="Calibri"/>
          <w:b/>
          <w:color w:val="BF953F"/>
          <w:sz w:val="22"/>
        </w:rPr>
        <w:t>Pendências não cobertas por testes automatizados dependem de infraestrutura real (Redis, ClamAV, API interna do MPT, Safari em macOS/iOS, teste de carga em staging).</w:t>
      </w:r>
    </w:p>
    <w:p>
      <w:pPr>
        <w:spacing w:after="120" w:before="240"/>
        <w:jc w:val="left"/>
      </w:pPr>
      <w:r>
        <w:rPr>
          <w:rFonts w:ascii="Calibri" w:hAnsi="Calibri"/>
          <w:b/>
          <w:color w:val="17335C"/>
          <w:sz w:val="24"/>
        </w:rPr>
        <w:t>Documentos de referência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Analises/RELATORIO_TESTES_DENUNCIAS.md — detalhamento por caso.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Analises/vitest-backend.json — saída bruta da suíte backend.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cidadania-canal-denuncias/test-results/ — vídeos, screenshots e anexos por projeto Playwright.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cidadania-canal-denuncias/playwright-report/index.html — relatório navegável.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