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installation project blending fiction, materials, and writing workshops.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Written at the beginning of the residency at Villa Belleville, </w:t>
      </w:r>
      <w:r w:rsidDel="00000000" w:rsidR="00000000" w:rsidRPr="00000000">
        <w:rPr>
          <w:i w:val="1"/>
          <w:iCs w:val="1"/>
          <w:rtl w:val="0"/>
        </w:rPr>
        <w:t xml:space="preserve">La Casa del Turrón</w:t>
      </w:r>
      <w:r w:rsidDel="00000000" w:rsidR="00000000" w:rsidRPr="00000000">
        <w:rPr>
          <w:rtl w:val="0"/>
        </w:rPr>
        <w:t xml:space="preserve"> is a short story resulting from documentary research on the commercial activities of Els Limits, a town on the French-Spanish border, and its culture of erotic clubs, shaped by mass tourism from France to Spain.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these spaces, “non-passage” takes shape through surfaces designed to be easily cleaned and to erase all traces of use: linoleum floors, washable plastics, tightly stretched sheets, and materials that return to their original state after each use.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Starting from this absence of traces, the project reflects on the intimacy surrounding the clients and their activities, as well as on the presences that remain hidden within these spaces.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leather tapestries form the installation, covered with a patina made from grease and pigments developed during the residency. Together, they recreate a fictional club space.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this space, collective writing workshops explored erotic fiction through the experience of “overflow.” Through text and movement, the workshops explored how overflow can disrupt closed or cyclical situations.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