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Halfway through the three-month exhibition, the performance </w:t>
      </w:r>
      <w:r w:rsidDel="00000000" w:rsidR="00000000" w:rsidRPr="00000000">
        <w:rPr>
          <w:i w:val="1"/>
          <w:iCs w:val="1"/>
          <w:rtl w:val="0"/>
        </w:rPr>
        <w:t xml:space="preserve">Espace à Salir</w:t>
      </w:r>
      <w:r w:rsidDel="00000000" w:rsidR="00000000" w:rsidRPr="00000000">
        <w:rPr>
          <w:rtl w:val="0"/>
        </w:rPr>
        <w:t xml:space="preserve">, created in collaboration with Salomé Kalonji, Constance Mathys, Unfarrowed Soilage, and Inès Yahiaoui, activated the works, placing the installation in a state of “post-use.”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Written collectively around the issues explored in the exhibition, the performance transformed the gallery into a space to be contaminated through gestures of interaction and intrusion, involving both the works and the audience.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