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Presented as part of the exhibition </w:t>
      </w:r>
      <w:r w:rsidDel="00000000" w:rsidR="00000000" w:rsidRPr="00000000">
        <w:rPr>
          <w:i w:val="1"/>
          <w:iCs w:val="1"/>
          <w:rtl w:val="0"/>
        </w:rPr>
        <w:t xml:space="preserve">Area of Effect</w:t>
      </w:r>
      <w:r w:rsidDel="00000000" w:rsidR="00000000" w:rsidRPr="00000000">
        <w:rPr>
          <w:rtl w:val="0"/>
        </w:rPr>
        <w:t xml:space="preserve">, which ended the Weissenhof research program at the Akademie der Bildenden Künste in Stuttgart, </w:t>
      </w:r>
      <w:r w:rsidDel="00000000" w:rsidR="00000000" w:rsidRPr="00000000">
        <w:rPr>
          <w:i w:val="1"/>
          <w:iCs w:val="1"/>
          <w:rtl w:val="0"/>
        </w:rPr>
        <w:t xml:space="preserve">Translating Bodies</w:t>
      </w:r>
      <w:r w:rsidDel="00000000" w:rsidR="00000000" w:rsidRPr="00000000">
        <w:rPr>
          <w:rtl w:val="0"/>
        </w:rPr>
        <w:t xml:space="preserve"> is a participatory installation developed in collaboration with the performance group Discotheca Flaming Star.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Divided into two rooms, </w:t>
      </w:r>
      <w:r w:rsidDel="00000000" w:rsidR="00000000" w:rsidRPr="00000000">
        <w:rPr>
          <w:i w:val="1"/>
          <w:iCs w:val="1"/>
          <w:rtl w:val="0"/>
        </w:rPr>
        <w:t xml:space="preserve">Closet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Bath</w:t>
      </w:r>
      <w:r w:rsidDel="00000000" w:rsidR="00000000" w:rsidRPr="00000000">
        <w:rPr>
          <w:rtl w:val="0"/>
        </w:rPr>
        <w:t xml:space="preserve">, the installation stages a ritual of preparing the body before entering an intimate space. Visitors are invited to take an embroidered hotel towel from a closet and use it before entering a room equipped with a footbath, where a soundscape blending whispered voices and theremin is played. This shared ritual sets a transfer in motion: the towels move from the closet to the laundry basket.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Drawing inspiration from the codes of grooming, celebration, and hospitality, the installation brings together two seemingly distinct rites of passage: the laying out of the dead and the preparation of the bride for marriage. Both rituals involve preparing the body for a transition to another state, marking a change in social status and the expectations placed upon it. What does such a transition entail, and what may be left behind in the process?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