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Cadre Harmonise — Technical Input Packet</w:t>
      </w:r>
    </w:p>
    <w:p>
      <w:r>
        <w:rPr>
          <w:b/>
        </w:rPr>
        <w:t>Mauritania · PRAPS2-MR pastoral early-warning system</w:t>
        <w:br/>
      </w:r>
      <w:r>
        <w:t>Auto-generated 2026-10-13T06:07:48.039825+00:00 from dekad 2026-09-11 (content hash f90b681cba784555)</w:t>
        <w:br/>
      </w:r>
      <w:r>
        <w:rPr>
          <w:i/>
        </w:rPr>
        <w:t>For submission to CSA/OSA ahead of the CH pastoral livelihood-zone panel.</w:t>
      </w:r>
    </w:p>
    <w:p>
      <w:pPr>
        <w:pStyle w:val="Heading1"/>
      </w:pPr>
      <w:r>
        <w:rPr>
          <w:color w:val="1F3864"/>
        </w:rPr>
        <w:t>1. National Summary</w:t>
      </w:r>
    </w:p>
    <w:p>
      <w:r>
        <w:t>As of 2026-09-11, 4 wilaya(s) are classified SEVERE and 4 HIGH on real Vegetation Condition Index and CHIRPS rainfall data (WFP/MODIS, via HDX). Moughataa-level coverage: 45 of 45 official administrative units have live dekadal data; the remainder fall back to their parent wilaya's classification.</w:t>
      </w:r>
    </w:p>
    <w:p>
      <w:pPr>
        <w:pStyle w:val="Heading1"/>
      </w:pPr>
      <w:r>
        <w:rPr>
          <w:color w:val="1F3864"/>
        </w:rPr>
        <w:t>2. Wilaya-Level Risk Tiers (Hazard Contributing Factor)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Resource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Season-avg VCI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3-mo Rainfall (% normal)</w:t>
            </w:r>
          </w:p>
        </w:tc>
      </w:tr>
      <w:tr>
        <w:tc>
          <w:tcPr>
            <w:tcW w:type="dxa" w:w="1728"/>
          </w:tcPr>
          <w:p>
            <w:r>
              <w:t>Dakhlet Nouadhibou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53.7%</w:t>
            </w:r>
          </w:p>
        </w:tc>
      </w:tr>
      <w:tr>
        <w:tc>
          <w:tcPr>
            <w:tcW w:type="dxa" w:w="1728"/>
          </w:tcPr>
          <w:p>
            <w:r>
              <w:t>Adrar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73.8%</w:t>
            </w:r>
          </w:p>
        </w:tc>
      </w:tr>
      <w:tr>
        <w:tc>
          <w:tcPr>
            <w:tcW w:type="dxa" w:w="1728"/>
          </w:tcPr>
          <w:p>
            <w:r>
              <w:t>Inchiri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12.7</w:t>
            </w:r>
          </w:p>
        </w:tc>
        <w:tc>
          <w:tcPr>
            <w:tcW w:type="dxa" w:w="1728"/>
          </w:tcPr>
          <w:p>
            <w:r>
              <w:t>44.0%</w:t>
            </w:r>
          </w:p>
        </w:tc>
      </w:tr>
      <w:tr>
        <w:tc>
          <w:tcPr>
            <w:tcW w:type="dxa" w:w="1728"/>
          </w:tcPr>
          <w:p>
            <w:r>
              <w:t>Nouakchott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28.8</w:t>
            </w:r>
          </w:p>
        </w:tc>
        <w:tc>
          <w:tcPr>
            <w:tcW w:type="dxa" w:w="1728"/>
          </w:tcPr>
          <w:p>
            <w:r>
              <w:t>56.4%</w:t>
            </w:r>
          </w:p>
        </w:tc>
      </w:tr>
      <w:tr>
        <w:tc>
          <w:tcPr>
            <w:tcW w:type="dxa" w:w="1728"/>
          </w:tcPr>
          <w:p>
            <w:r>
              <w:t>Guidimakha</w:t>
            </w:r>
          </w:p>
        </w:tc>
        <w:tc>
          <w:tcPr>
            <w:tcW w:type="dxa" w:w="1728"/>
          </w:tcPr>
          <w:p>
            <w:r>
              <w:t>2.33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47.8</w:t>
            </w:r>
          </w:p>
        </w:tc>
        <w:tc>
          <w:tcPr>
            <w:tcW w:type="dxa" w:w="1728"/>
          </w:tcPr>
          <w:p>
            <w:r>
              <w:t>69.4%</w:t>
            </w:r>
          </w:p>
        </w:tc>
      </w:tr>
      <w:tr>
        <w:tc>
          <w:tcPr>
            <w:tcW w:type="dxa" w:w="1728"/>
          </w:tcPr>
          <w:p>
            <w:r>
              <w:t>Gorgol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49.1</w:t>
            </w:r>
          </w:p>
        </w:tc>
        <w:tc>
          <w:tcPr>
            <w:tcW w:type="dxa" w:w="1728"/>
          </w:tcPr>
          <w:p>
            <w:r>
              <w:t>77.9%</w:t>
            </w:r>
          </w:p>
        </w:tc>
      </w:tr>
      <w:tr>
        <w:tc>
          <w:tcPr>
            <w:tcW w:type="dxa" w:w="1728"/>
          </w:tcPr>
          <w:p>
            <w:r>
              <w:t>Tagant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36.8</w:t>
            </w:r>
          </w:p>
        </w:tc>
        <w:tc>
          <w:tcPr>
            <w:tcW w:type="dxa" w:w="1728"/>
          </w:tcPr>
          <w:p>
            <w:r>
              <w:t>75.8%</w:t>
            </w:r>
          </w:p>
        </w:tc>
      </w:tr>
      <w:tr>
        <w:tc>
          <w:tcPr>
            <w:tcW w:type="dxa" w:w="1728"/>
          </w:tcPr>
          <w:p>
            <w:r>
              <w:t>Tiris Zemmour</w:t>
            </w:r>
          </w:p>
        </w:tc>
        <w:tc>
          <w:tcPr>
            <w:tcW w:type="dxa" w:w="1728"/>
          </w:tcPr>
          <w:p>
            <w:r>
              <w:t>2.52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14.6</w:t>
            </w:r>
          </w:p>
        </w:tc>
        <w:tc>
          <w:tcPr>
            <w:tcW w:type="dxa" w:w="1728"/>
          </w:tcPr>
          <w:p>
            <w:r>
              <w:t>91.3%</w:t>
            </w:r>
          </w:p>
        </w:tc>
      </w:tr>
      <w:tr>
        <w:tc>
          <w:tcPr>
            <w:tcW w:type="dxa" w:w="1728"/>
          </w:tcPr>
          <w:p>
            <w:r>
              <w:t>Assaba</w:t>
            </w:r>
          </w:p>
        </w:tc>
        <w:tc>
          <w:tcPr>
            <w:tcW w:type="dxa" w:w="1728"/>
          </w:tcPr>
          <w:p>
            <w:r>
              <w:t>2.97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58.9</w:t>
            </w:r>
          </w:p>
        </w:tc>
        <w:tc>
          <w:tcPr>
            <w:tcW w:type="dxa" w:w="1728"/>
          </w:tcPr>
          <w:p>
            <w:r>
              <w:t>70.6%</w:t>
            </w:r>
          </w:p>
        </w:tc>
      </w:tr>
      <w:tr>
        <w:tc>
          <w:tcPr>
            <w:tcW w:type="dxa" w:w="1728"/>
          </w:tcPr>
          <w:p>
            <w:r>
              <w:t>Brakna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50.1</w:t>
            </w:r>
          </w:p>
        </w:tc>
        <w:tc>
          <w:tcPr>
            <w:tcW w:type="dxa" w:w="1728"/>
          </w:tcPr>
          <w:p>
            <w:r>
              <w:t>76.8%</w:t>
            </w:r>
          </w:p>
        </w:tc>
      </w:tr>
      <w:tr>
        <w:tc>
          <w:tcPr>
            <w:tcW w:type="dxa" w:w="1728"/>
          </w:tcPr>
          <w:p>
            <w:r>
              <w:t>Hodh El Gharbi</w:t>
            </w:r>
          </w:p>
        </w:tc>
        <w:tc>
          <w:tcPr>
            <w:tcW w:type="dxa" w:w="1728"/>
          </w:tcPr>
          <w:p>
            <w:r>
              <w:t>3.62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66.0</w:t>
            </w:r>
          </w:p>
        </w:tc>
        <w:tc>
          <w:tcPr>
            <w:tcW w:type="dxa" w:w="1728"/>
          </w:tcPr>
          <w:p>
            <w:r>
              <w:t>74.6%</w:t>
            </w:r>
          </w:p>
        </w:tc>
      </w:tr>
      <w:tr>
        <w:tc>
          <w:tcPr>
            <w:tcW w:type="dxa" w:w="1728"/>
          </w:tcPr>
          <w:p>
            <w:r>
              <w:t>Trarza</w:t>
            </w:r>
          </w:p>
        </w:tc>
        <w:tc>
          <w:tcPr>
            <w:tcW w:type="dxa" w:w="1728"/>
          </w:tcPr>
          <w:p>
            <w:r>
              <w:t>3.62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70.9</w:t>
            </w:r>
          </w:p>
        </w:tc>
        <w:tc>
          <w:tcPr>
            <w:tcW w:type="dxa" w:w="1728"/>
          </w:tcPr>
          <w:p>
            <w:r>
              <w:t>72.4%</w:t>
            </w:r>
          </w:p>
        </w:tc>
      </w:tr>
      <w:tr>
        <w:tc>
          <w:tcPr>
            <w:tcW w:type="dxa" w:w="1728"/>
          </w:tcPr>
          <w:p>
            <w:r>
              <w:t>Hodh Chargui</w:t>
            </w:r>
          </w:p>
        </w:tc>
        <w:tc>
          <w:tcPr>
            <w:tcW w:type="dxa" w:w="1728"/>
          </w:tcPr>
          <w:p>
            <w:r>
              <w:t>4.15</w:t>
            </w:r>
          </w:p>
        </w:tc>
        <w:tc>
          <w:tcPr>
            <w:tcW w:type="dxa" w:w="1728"/>
            <w:shd w:fill="5B9A48"/>
          </w:tcPr>
          <w:p>
            <w:r>
              <w:t>FAVOURABLE</w:t>
            </w:r>
          </w:p>
        </w:tc>
        <w:tc>
          <w:tcPr>
            <w:tcW w:type="dxa" w:w="1728"/>
          </w:tcPr>
          <w:p>
            <w:r>
              <w:t>65.8</w:t>
            </w:r>
          </w:p>
        </w:tc>
        <w:tc>
          <w:tcPr>
            <w:tcW w:type="dxa" w:w="1728"/>
          </w:tcPr>
          <w:p>
            <w:r>
              <w:t>86.5%</w:t>
            </w:r>
          </w:p>
        </w:tc>
      </w:tr>
    </w:tbl>
    <w:p>
      <w:pPr>
        <w:pStyle w:val="Heading1"/>
      </w:pPr>
      <w:r>
        <w:rPr>
          <w:color w:val="1F3864"/>
        </w:rPr>
        <w:t>3. Vulnerability Contributing Factor — Pastoral Suitability/Vulnerability Index</w:t>
      </w:r>
    </w:p>
    <w:p>
      <w:r>
        <w:t>PSVI = livestock density (TLU/km2, RGE 2024) divided by the real resource score. High PSVI flags wilayas where livestock pressure is large relative to locally available pasture/water, independent of the hazard rating alone.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PSVI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Vulnerability Tier</w:t>
            </w:r>
          </w:p>
        </w:tc>
      </w:tr>
      <w:tr>
        <w:tc>
          <w:tcPr>
            <w:tcW w:type="dxa" w:w="2880"/>
          </w:tcPr>
          <w:p>
            <w:r>
              <w:t>Guidimakha</w:t>
            </w:r>
          </w:p>
        </w:tc>
        <w:tc>
          <w:tcPr>
            <w:tcW w:type="dxa" w:w="2880"/>
          </w:tcPr>
          <w:p>
            <w:r>
              <w:t>34.28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Nouakchott</w:t>
            </w:r>
          </w:p>
        </w:tc>
        <w:tc>
          <w:tcPr>
            <w:tcW w:type="dxa" w:w="2880"/>
          </w:tcPr>
          <w:p>
            <w:r>
              <w:t>22.34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Gorgol</w:t>
            </w:r>
          </w:p>
        </w:tc>
        <w:tc>
          <w:tcPr>
            <w:tcW w:type="dxa" w:w="2880"/>
          </w:tcPr>
          <w:p>
            <w:r>
              <w:t>18.52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Assaba</w:t>
            </w:r>
          </w:p>
        </w:tc>
        <w:tc>
          <w:tcPr>
            <w:tcW w:type="dxa" w:w="2880"/>
          </w:tcPr>
          <w:p>
            <w:r>
              <w:t>8.64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Brakna</w:t>
            </w:r>
          </w:p>
        </w:tc>
        <w:tc>
          <w:tcPr>
            <w:tcW w:type="dxa" w:w="2880"/>
          </w:tcPr>
          <w:p>
            <w:r>
              <w:t>7.12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El Gharbi</w:t>
            </w:r>
          </w:p>
        </w:tc>
        <w:tc>
          <w:tcPr>
            <w:tcW w:type="dxa" w:w="2880"/>
          </w:tcPr>
          <w:p>
            <w:r>
              <w:t>6.64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Dakhlet Nouadhibou</w:t>
            </w:r>
          </w:p>
        </w:tc>
        <w:tc>
          <w:tcPr>
            <w:tcW w:type="dxa" w:w="2880"/>
          </w:tcPr>
          <w:p>
            <w:r>
              <w:t>5.74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Trarza</w:t>
            </w:r>
          </w:p>
        </w:tc>
        <w:tc>
          <w:tcPr>
            <w:tcW w:type="dxa" w:w="2880"/>
          </w:tcPr>
          <w:p>
            <w:r>
              <w:t>4.04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Chargui</w:t>
            </w:r>
          </w:p>
        </w:tc>
        <w:tc>
          <w:tcPr>
            <w:tcW w:type="dxa" w:w="2880"/>
          </w:tcPr>
          <w:p>
            <w:r>
              <w:t>3.92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Tagant</w:t>
            </w:r>
          </w:p>
        </w:tc>
        <w:tc>
          <w:tcPr>
            <w:tcW w:type="dxa" w:w="2880"/>
          </w:tcPr>
          <w:p>
            <w:r>
              <w:t>1.30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Inchiri</w:t>
            </w:r>
          </w:p>
        </w:tc>
        <w:tc>
          <w:tcPr>
            <w:tcW w:type="dxa" w:w="2880"/>
          </w:tcPr>
          <w:p>
            <w:r>
              <w:t>0.69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Adrar</w:t>
            </w:r>
          </w:p>
        </w:tc>
        <w:tc>
          <w:tcPr>
            <w:tcW w:type="dxa" w:w="2880"/>
          </w:tcPr>
          <w:p>
            <w:r>
              <w:t>0.37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Tiris Zemmour</w:t>
            </w:r>
          </w:p>
        </w:tc>
        <w:tc>
          <w:tcPr>
            <w:tcW w:type="dxa" w:w="2880"/>
          </w:tcPr>
          <w:p>
            <w:r>
              <w:t>0.22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1"/>
      </w:pPr>
      <w:r>
        <w:rPr>
          <w:color w:val="1F3864"/>
        </w:rPr>
        <w:t>4. Dekad-on-Dekad Change Log (Forward-Looking Signal)</w:t>
      </w:r>
    </w:p>
    <w:p>
      <w:r>
        <w:t>No wilaya-level tier changes since the previous dekad.</w:t>
      </w:r>
    </w:p>
    <w:p>
      <w:pPr>
        <w:pStyle w:val="Heading1"/>
      </w:pPr>
      <w:r>
        <w:rPr>
          <w:color w:val="1F3864"/>
        </w:rPr>
        <w:t>5. Indicator Crosswalk to CH Pillars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 Pillar / Contributing 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Real VCI / NDVI anomaly</w:t>
            </w:r>
          </w:p>
        </w:tc>
        <w:tc>
          <w:tcPr>
            <w:tcW w:type="dxa" w:w="2880"/>
          </w:tcPr>
          <w:p>
            <w:r>
              <w:t>Hazard (rainfall/vegetation deficit)</w:t>
            </w:r>
          </w:p>
        </w:tc>
        <w:tc>
          <w:tcPr>
            <w:tcW w:type="dxa" w:w="2880"/>
          </w:tcPr>
          <w:p>
            <w:r>
              <w:t>Hazard-severity input to the pastoral panel</w:t>
            </w:r>
          </w:p>
        </w:tc>
      </w:tr>
      <w:tr>
        <w:tc>
          <w:tcPr>
            <w:tcW w:type="dxa" w:w="2880"/>
          </w:tcPr>
          <w:p>
            <w:r>
              <w:t>Real PSVI</w:t>
            </w:r>
          </w:p>
        </w:tc>
        <w:tc>
          <w:tcPr>
            <w:tcW w:type="dxa" w:w="2880"/>
          </w:tcPr>
          <w:p>
            <w:r>
              <w:t>Vulnerability (structural exposure)</w:t>
            </w:r>
          </w:p>
        </w:tc>
        <w:tc>
          <w:tcPr>
            <w:tcW w:type="dxa" w:w="2880"/>
          </w:tcPr>
          <w:p>
            <w:r>
              <w:t>Flags wilayas where pressure outpaces resources</w:t>
            </w:r>
          </w:p>
        </w:tc>
      </w:tr>
      <w:tr>
        <w:tc>
          <w:tcPr>
            <w:tcW w:type="dxa" w:w="2880"/>
          </w:tcPr>
          <w:p>
            <w:r>
              <w:t>Dekad-on-dekad change log</w:t>
            </w:r>
          </w:p>
        </w:tc>
        <w:tc>
          <w:tcPr>
            <w:tcW w:type="dxa" w:w="2880"/>
          </w:tcPr>
          <w:p>
            <w:r>
              <w:t>Hazard, forward-looking</w:t>
            </w:r>
          </w:p>
        </w:tc>
        <w:tc>
          <w:tcPr>
            <w:tcW w:type="dxa" w:w="2880"/>
          </w:tcPr>
          <w:p>
            <w:r>
              <w:t>Feeds the PROJECTED phase discussion</w:t>
            </w:r>
          </w:p>
        </w:tc>
      </w:tr>
    </w:tbl>
    <w:p>
      <w:r>
        <w:rPr>
          <w:i/>
        </w:rPr>
        <w:br/>
        <w:t>Source: HDX 'Mauritania: NDVI/Rainfall at Subnational Level' (WFP/MODIS/CHIRPS); RGE 2024 (Ministere de l'Elevage) for livestock; ANSADE/HDX COD-AB for administrative boundaries. Generated by generate_ch_packet.py, part of the PRAPS2 pastoral early-warning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