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2026-09-08T22:03:55.530406+00:00 from dekad 2026-08-21 (content hash ba57f1aca0b920de)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2026-08-21, 3 wilaya(s) are classified SEVERE and 3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65.6%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52.6%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  <w:tc>
          <w:tcPr>
            <w:tcW w:type="dxa" w:w="1728"/>
          </w:tcPr>
          <w:p>
            <w:r>
              <w:t>81.6%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86.9%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86.6%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79.8%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84.5%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63.9</w:t>
            </w:r>
          </w:p>
        </w:tc>
        <w:tc>
          <w:tcPr>
            <w:tcW w:type="dxa" w:w="1728"/>
          </w:tcPr>
          <w:p>
            <w:r>
              <w:t>93.0%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53.8</w:t>
            </w:r>
          </w:p>
        </w:tc>
        <w:tc>
          <w:tcPr>
            <w:tcW w:type="dxa" w:w="1728"/>
          </w:tcPr>
          <w:p>
            <w:r>
              <w:t>89.8%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72.2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73.2</w:t>
            </w:r>
          </w:p>
        </w:tc>
        <w:tc>
          <w:tcPr>
            <w:tcW w:type="dxa" w:w="1728"/>
          </w:tcPr>
          <w:p>
            <w:r>
              <w:t>87.8%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25.36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14.63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13.23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6.32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3.52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r>
        <w:t>No wilaya-level tier changes since the previous dekad.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