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utntstabell2"/>
        <w:tblpPr w:leftFromText="141" w:rightFromText="141" w:vertAnchor="text" w:horzAnchor="margin" w:tblpY="-639"/>
        <w:tblW w:w="5000" w:type="pct"/>
        <w:tblLook w:val="04A0" w:firstRow="1" w:lastRow="0" w:firstColumn="1" w:lastColumn="0" w:noHBand="0" w:noVBand="1"/>
      </w:tblPr>
      <w:tblGrid>
        <w:gridCol w:w="3663"/>
        <w:gridCol w:w="691"/>
        <w:gridCol w:w="1918"/>
        <w:gridCol w:w="874"/>
        <w:gridCol w:w="1920"/>
      </w:tblGrid>
      <w:tr w:rsidR="00F650B4" w:rsidRPr="00F650B4" w:rsidTr="00F6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6"/>
                <w:szCs w:val="16"/>
                <w:lang w:val="en-US" w:eastAsia="sv-SE"/>
              </w:rPr>
            </w:pPr>
            <w:r w:rsidRPr="00F650B4">
              <w:rPr>
                <w:rFonts w:ascii="Helvetica" w:eastAsia="Times New Roman" w:hAnsi="Helvetica" w:cs="Times New Roman"/>
                <w:sz w:val="16"/>
                <w:szCs w:val="16"/>
                <w:lang w:val="en-US" w:eastAsia="sv-SE"/>
              </w:rPr>
              <w:t>Table 1. Descriptive statistics</w:t>
            </w:r>
          </w:p>
        </w:tc>
        <w:tc>
          <w:tcPr>
            <w:tcW w:w="1439" w:type="pct"/>
            <w:gridSpan w:val="2"/>
            <w:hideMark/>
          </w:tcPr>
          <w:p w:rsidR="00F650B4" w:rsidRPr="00A67DDF" w:rsidRDefault="00F650B4" w:rsidP="00F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4"/>
                <w:szCs w:val="14"/>
                <w:u w:val="single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  <w:lang w:val="en-US" w:eastAsia="sv-SE"/>
              </w:rPr>
              <w:t>Cases</w:t>
            </w:r>
          </w:p>
        </w:tc>
        <w:tc>
          <w:tcPr>
            <w:tcW w:w="1541" w:type="pct"/>
            <w:gridSpan w:val="2"/>
            <w:hideMark/>
          </w:tcPr>
          <w:p w:rsidR="00F650B4" w:rsidRPr="00A67DDF" w:rsidRDefault="00F650B4" w:rsidP="00F6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4"/>
                <w:szCs w:val="14"/>
                <w:u w:val="single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  <w:lang w:val="en-US" w:eastAsia="sv-SE"/>
              </w:rPr>
              <w:t>Controls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sz w:val="13"/>
                <w:szCs w:val="13"/>
                <w:vertAlign w:val="subscript"/>
                <w:lang w:val="en-US" w:eastAsia="sv-S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n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vertAlign w:val="subscript"/>
                <w:lang w:val="en-US" w:eastAsia="sv-SE"/>
              </w:rPr>
              <w:t>obs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Mean/median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sz w:val="13"/>
                <w:szCs w:val="13"/>
                <w:vertAlign w:val="subscript"/>
                <w:lang w:val="en-US" w:eastAsia="sv-SE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13"/>
                <w:szCs w:val="13"/>
                <w:lang w:val="en-US" w:eastAsia="sv-SE"/>
              </w:rPr>
              <w:t>n</w:t>
            </w:r>
            <w:r>
              <w:rPr>
                <w:rFonts w:ascii="Helvetica" w:eastAsia="Times New Roman" w:hAnsi="Helvetica" w:cs="Times New Roman"/>
                <w:b/>
                <w:bCs/>
                <w:sz w:val="13"/>
                <w:szCs w:val="13"/>
                <w:vertAlign w:val="subscript"/>
                <w:lang w:val="en-US" w:eastAsia="sv-SE"/>
              </w:rPr>
              <w:t>obs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Mean/median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Age at blood sampling (years)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59.8 (IQR: 50.1 - 60.1; range: 29.8 - 69.9)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59.9 (IQR: 50.2 - 60.2; range: 30.2 - 72.9)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Age at event (years)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64.6 (IQR: 58.7 - 68.7; range: 40.6 - 74.9)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Sex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female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46 (20.5 %)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46 (20.5 %)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male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178 (79.5 %)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178 (79.5 %)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Serum total cholesterol (mmol/L)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216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6.43 (SD: ± 1.32)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6.09 (SD: ± 1.14)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Apolipoprotein B-100 (g/L)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170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1.32 (SD: ± 0.292)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173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1.17 (SD: ± 0.254)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Apolipoprotein A-1 (g/L)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169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1.36 (SD: ± 0.211)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173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1.42 (SD: ± 0.255)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Body mass index (kg/m2)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223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27.1 (IQR: 25.2 - 29.7; range: 19.9 - 44.8)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219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25.6 (IQR: 23.2 - 27.8; range: 17.9 - 40.7)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Systolic blood pressure (mmHg)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220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142 (SD: ± 20)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220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133 (SD: ± 18)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Diastolic blood pressure(mmHg)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220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86.7 (SD: ± 10.9)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220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82.3 (SD: ± 10.2)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Current smoker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218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213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136 (62.4 %)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163 (76.5 %)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82 (37.6 %)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50 (23.5 %)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Glucose (mmol/L)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201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5.5 (IQR: 5.05 - 6.2; range: 3.9 - 26.9)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5.4 (IQR: 5.09 - 5.9; range: 2.9 - 12.5)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Post-OGTT glucose (mmol/L)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170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6.42 (IQR: 5.31 - 7.9; range: 1.9 - 21.3)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194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6.4 (IQR: 5.5 - 7.34; range: 2.9 - 18.5)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Self-reported diabetes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223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218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200 (89.7 %)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213 (97.7 %)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23 (10.3 %)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 (2.3 %)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Fasting status 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0-4h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14 (6.2 %)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10 (4.5 %)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4-6h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43 (19.2 %)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39 (17.4 %)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6-8h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 (2.7 %)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 (0.9 %)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&gt;8h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161 (71.9 %)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173 (77.2 %)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Secondary education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209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212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117 (56 %)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87 (41 %)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92 (44 %)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125 (59 %)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ECG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LBBB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 (0.4 %)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NSTEMI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 (2.7 %)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Unknown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3 (1.3 %)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PM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0 (0 %)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SCD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187 (83.5 %)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STEMI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27 (12.1 %)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Estimated time to death </w:t>
            </w:r>
          </w:p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from symptom onset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224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&lt;1h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108 (48.2 %)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1-24h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68 (30.4 %)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Unknown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48 (21.4 %)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Self-reported blood pressure lowering drug intake during the past two weeks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216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151 (69.9 %)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179 (87.7 %)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65 (30.1 %)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25 (12.3 %)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Self-reported ASA or nitroglycerin drug intake during the past two weeks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216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204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192 (88.9 %)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194 (95.1 %)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24 (11.1 %)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10 (4.9 %)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Self-reported benzodiazepine or antihistamine drug during the past two weeks 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193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181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185 (95.9 %)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176 (97.2 %)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8 (4.1 %)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 (2.8 %)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Self-reported proton pump inhibitor drug intake during the past two weeks 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155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150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146 (94.2 %)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139 (92.7 %)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9 (5.8 %)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11 (7.3 %)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Self-reported lipid lowering drug intake during the past two weeks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177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173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158 (89.3 %)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172 (99.4 %)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19 (10.7 %)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 (0.6 %)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Lifestyle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 and diet 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DM2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 treatment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203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200 (98 %)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202 (99.5 %)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4 (2 %)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 (0.5 %)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Lifestyle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, 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diet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 and 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drug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 DM2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 treatment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203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199 (97.5 %)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201 (99 %)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5 (2.5 %)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 (1 %)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Lifestyle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, 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die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t, 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drug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, and 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insulin</w:t>
            </w:r>
            <w:r w:rsidRPr="00F650B4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 DM2</w:t>
            </w: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 xml:space="preserve"> treatment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204</w:t>
            </w: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203</w:t>
            </w: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</w:t>
            </w:r>
          </w:p>
        </w:tc>
      </w:tr>
      <w:tr w:rsidR="00F650B4" w:rsidRPr="00F650B4" w:rsidTr="00F6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no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196 (96.1 %) 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203 (100 %) </w:t>
            </w:r>
          </w:p>
        </w:tc>
      </w:tr>
      <w:tr w:rsidR="00F650B4" w:rsidRPr="00F650B4" w:rsidTr="00F65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pct"/>
            <w:hideMark/>
          </w:tcPr>
          <w:p w:rsidR="00F650B4" w:rsidRPr="00A67DDF" w:rsidRDefault="00F650B4" w:rsidP="00F650B4">
            <w:pPr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  yes</w:t>
            </w:r>
          </w:p>
        </w:tc>
        <w:tc>
          <w:tcPr>
            <w:tcW w:w="381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8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8 (3.9 %)</w:t>
            </w:r>
          </w:p>
        </w:tc>
        <w:tc>
          <w:tcPr>
            <w:tcW w:w="482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</w:p>
        </w:tc>
        <w:tc>
          <w:tcPr>
            <w:tcW w:w="1059" w:type="pct"/>
            <w:hideMark/>
          </w:tcPr>
          <w:p w:rsidR="00F650B4" w:rsidRPr="00A67DDF" w:rsidRDefault="00F650B4" w:rsidP="00F65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z w:val="13"/>
                <w:szCs w:val="13"/>
                <w:lang w:val="en-US" w:eastAsia="sv-SE"/>
              </w:rPr>
            </w:pPr>
            <w:r w:rsidRPr="00A67DDF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0 (0 %)</w:t>
            </w:r>
          </w:p>
        </w:tc>
      </w:tr>
    </w:tbl>
    <w:p w:rsidR="00A67DDF" w:rsidRPr="00A67DDF" w:rsidRDefault="00A67DDF" w:rsidP="00F650B4">
      <w:pPr>
        <w:spacing w:after="120" w:line="480" w:lineRule="auto"/>
        <w:rPr>
          <w:rFonts w:ascii="Times New Roman" w:eastAsia="Times New Roman" w:hAnsi="Times New Roman" w:cs="Times New Roman"/>
          <w:lang w:val="en-US" w:eastAsia="sv-SE"/>
        </w:rPr>
      </w:pPr>
    </w:p>
    <w:p w:rsidR="00862408" w:rsidRPr="00AC4607" w:rsidRDefault="00F650B4">
      <w:pPr>
        <w:rPr>
          <w:lang w:val="en-US"/>
        </w:rPr>
      </w:pPr>
    </w:p>
    <w:sectPr w:rsidR="00862408" w:rsidRPr="00AC4607" w:rsidSect="007E51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DF"/>
    <w:rsid w:val="00034B64"/>
    <w:rsid w:val="000461E0"/>
    <w:rsid w:val="0009555F"/>
    <w:rsid w:val="00096D53"/>
    <w:rsid w:val="000E564D"/>
    <w:rsid w:val="001015C4"/>
    <w:rsid w:val="00151CF2"/>
    <w:rsid w:val="001E6F35"/>
    <w:rsid w:val="00224CDC"/>
    <w:rsid w:val="00307349"/>
    <w:rsid w:val="0033060F"/>
    <w:rsid w:val="00395BEE"/>
    <w:rsid w:val="003F740F"/>
    <w:rsid w:val="00425319"/>
    <w:rsid w:val="00425D8D"/>
    <w:rsid w:val="004877EF"/>
    <w:rsid w:val="004A3803"/>
    <w:rsid w:val="004E4516"/>
    <w:rsid w:val="00586D04"/>
    <w:rsid w:val="0059748B"/>
    <w:rsid w:val="005F18E0"/>
    <w:rsid w:val="00667AA0"/>
    <w:rsid w:val="00682F9A"/>
    <w:rsid w:val="00683B04"/>
    <w:rsid w:val="007237CF"/>
    <w:rsid w:val="00787931"/>
    <w:rsid w:val="007A0936"/>
    <w:rsid w:val="007D6A40"/>
    <w:rsid w:val="007E519D"/>
    <w:rsid w:val="008B205B"/>
    <w:rsid w:val="009A2FA5"/>
    <w:rsid w:val="00A22D94"/>
    <w:rsid w:val="00A619D3"/>
    <w:rsid w:val="00A63879"/>
    <w:rsid w:val="00A67DDF"/>
    <w:rsid w:val="00A7230E"/>
    <w:rsid w:val="00AC4607"/>
    <w:rsid w:val="00B63913"/>
    <w:rsid w:val="00B82206"/>
    <w:rsid w:val="00B95C9A"/>
    <w:rsid w:val="00BC4469"/>
    <w:rsid w:val="00BC7197"/>
    <w:rsid w:val="00BF5A7F"/>
    <w:rsid w:val="00CD51EF"/>
    <w:rsid w:val="00CE24A1"/>
    <w:rsid w:val="00D360D3"/>
    <w:rsid w:val="00D6431E"/>
    <w:rsid w:val="00DE7B96"/>
    <w:rsid w:val="00E27B92"/>
    <w:rsid w:val="00E771BE"/>
    <w:rsid w:val="00EF09DF"/>
    <w:rsid w:val="00F6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87B0D"/>
  <w15:chartTrackingRefBased/>
  <w15:docId w15:val="{10213782-29A6-9843-B183-36328F3B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A67D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table" w:styleId="Rutntstabell2">
    <w:name w:val="Grid Table 2"/>
    <w:basedOn w:val="Normaltabell"/>
    <w:uiPriority w:val="47"/>
    <w:rsid w:val="00AC460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467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Landfors</dc:creator>
  <cp:keywords/>
  <dc:description/>
  <cp:lastModifiedBy>Fredrik Landfors</cp:lastModifiedBy>
  <cp:revision>3</cp:revision>
  <dcterms:created xsi:type="dcterms:W3CDTF">2021-01-07T12:52:00Z</dcterms:created>
  <dcterms:modified xsi:type="dcterms:W3CDTF">2021-01-07T13:07:00Z</dcterms:modified>
</cp:coreProperties>
</file>