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24 April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>Function Agregasi dan Skalar</w:t>
            </w:r>
          </w:p>
        </w:tc>
        <w:tc>
          <w:tcPr>
            <w:vAlign w:val="center"/>
          </w:tcPr>
          <w:p>
            <w:r>
              <w:t xml:space="preserve">Dosen memberikan materi dan quiz  serta praktikum</w:t>
            </w:r>
          </w:p>
        </w:tc>
        <w:tc>
          <w:tcPr>
            <w:vAlign w:val="center"/>
          </w:tcPr>
          <w:p>
            <w:r>
              <w:t xml:space="preserve">Rafi, Arif, Nadhil, Tria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>Paradigma Analysis dan Design</w:t>
            </w:r>
          </w:p>
        </w:tc>
        <w:tc>
          <w:tcPr>
            <w:vAlign w:val="center"/>
          </w:tcPr>
          <w:p>
            <w:r>
              <w:t xml:space="preserve">Dosen memberikan materi dan asisten membantu praktikum</w:t>
            </w:r>
          </w:p>
        </w:tc>
        <w:tc>
          <w:tcPr>
            <w:vAlign w:val="center"/>
          </w:tcPr>
          <w:p>
            <w:r>
              <w:t xml:space="preserve">Arif, Naufal, Tasya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ANALISIS DAN PERANCANGAN SI B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