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01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DCL</w:t>
            </w:r>
          </w:p>
        </w:tc>
        <w:tc>
          <w:tcPr>
            <w:vAlign w:val="center"/>
          </w:tcPr>
          <w:p>
            <w:r>
              <w:t xml:space="preserve">Dosen Menjelaskan Materi, Asisten Mengawas</w:t>
            </w:r>
          </w:p>
        </w:tc>
        <w:tc>
          <w:tcPr>
            <w:vAlign w:val="center"/>
          </w:tcPr>
          <w:p>
            <w:r>
              <w:t xml:space="preserve">Khasyi,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