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05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Join</w:t>
            </w:r>
          </w:p>
        </w:tc>
        <w:tc>
          <w:tcPr>
            <w:vAlign w:val="center"/>
          </w:tcPr>
          <w:p>
            <w:r>
              <w:t xml:space="preserve">Dosen memberikan materi dan praktikum mengenai pengelolaan data lanjutan join</w:t>
            </w:r>
          </w:p>
        </w:tc>
        <w:tc>
          <w:tcPr>
            <w:vAlign w:val="center"/>
          </w:tcPr>
          <w:p>
            <w:r>
              <w:t xml:space="preserve">Rafi, Tria, Arif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Sequence Diagram</w:t>
            </w:r>
          </w:p>
        </w:tc>
        <w:tc>
          <w:tcPr>
            <w:vAlign w:val="center"/>
          </w:tcPr>
          <w:p>
            <w:r>
              <w:t xml:space="preserve">Asisten menjelaskan materi dan memberikan tugas yang diberikan oleh dosen</w:t>
            </w:r>
          </w:p>
        </w:tc>
        <w:tc>
          <w:tcPr>
            <w:vAlign w:val="center"/>
          </w:tcPr>
          <w:p>
            <w:r>
              <w:t xml:space="preserve">Arif, Ridzieq, Tasya, Zahra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