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12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Class Diagram</w:t>
            </w:r>
          </w:p>
        </w:tc>
        <w:tc>
          <w:tcPr>
            <w:vAlign w:val="center"/>
          </w:tcPr>
          <w:p>
            <w:r>
              <w:t xml:space="preserve">Asisten menjelaskan materi dan melakukan praktikum</w:t>
            </w:r>
          </w:p>
        </w:tc>
        <w:tc>
          <w:tcPr>
            <w:vAlign w:val="center"/>
          </w:tcPr>
          <w:p>
            <w:r>
              <w:t xml:space="preserve">Arif, Ridzieq, Tasya, Zahra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Join and View (Studi Kasus)</w:t>
            </w:r>
          </w:p>
        </w:tc>
        <w:tc>
          <w:tcPr>
            <w:vAlign w:val="center"/>
          </w:tcPr>
          <w:p>
            <w:r>
              <w:t xml:space="preserve">Asisten memberikan post test dan quiz mengenai Join pada Studi Kasus Tech Nusantara</w:t>
            </w:r>
          </w:p>
        </w:tc>
        <w:tc>
          <w:tcPr>
            <w:vAlign w:val="center"/>
          </w:tcPr>
          <w:p>
            <w:r>
              <w:t xml:space="preserve">Rafi, Arif, Tria, Nadhil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ANALISIS DAN PERANCANGAN SI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