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24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Instalasi Laravel dan Migrasi dengan Artisan</w:t>
            </w:r>
          </w:p>
        </w:tc>
        <w:tc>
          <w:tcPr>
            <w:vAlign w:val="center"/>
          </w:tcPr>
          <w:p>
            <w:r>
              <w:t xml:space="preserve">Praktikum Laravel Artisan dan Presentasi tugas akhir</w:t>
            </w:r>
          </w:p>
        </w:tc>
        <w:tc>
          <w:tcPr>
            <w:vAlign w:val="center"/>
          </w:tcPr>
          <w:p>
            <w:r>
              <w:t xml:space="preserve">Adhi, Nadhil, Khasyi,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class Diagram dan data modelling</w:t>
            </w:r>
          </w:p>
        </w:tc>
        <w:tc>
          <w:tcPr>
            <w:vAlign w:val="center"/>
          </w:tcPr>
          <w:p>
            <w:r>
              <w:t xml:space="preserve">Dosen memberikan materi lanjutan tentang class diagram</w:t>
            </w:r>
          </w:p>
        </w:tc>
        <w:tc>
          <w:tcPr>
            <w:vAlign w:val="center"/>
          </w:tcPr>
          <w:p>
            <w:r>
              <w:t xml:space="preserve">Naufal, Tasya, Zahra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WEB LANJUT B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