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21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Dasar Pembuatan Aplikasi</w:t>
            </w:r>
          </w:p>
        </w:tc>
        <w:tc>
          <w:tcPr>
            <w:vAlign w:val="center"/>
          </w:tcPr>
          <w:p>
            <w:r>
              <w:t xml:space="preserve">Asisten memberikan praktikum mengenai Component &amp; Variable, Auto layout, dan pengenalan Prototyping.</w:t>
            </w:r>
          </w:p>
        </w:tc>
        <w:tc>
          <w:tcPr>
            <w:vAlign w:val="center"/>
          </w:tcPr>
          <w:p>
            <w:r>
              <w:t xml:space="preserve">Petra, Gangsar, Adhi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Remedial UTS</w:t>
            </w:r>
          </w:p>
        </w:tc>
        <w:tc>
          <w:tcPr>
            <w:vAlign w:val="center"/>
          </w:tcPr>
          <w:p>
            <w:r>
              <w:t xml:space="preserve">Melaksanaan remedial UTS</w:t>
            </w:r>
          </w:p>
        </w:tc>
        <w:tc>
          <w:tcPr>
            <w:vAlign w:val="center"/>
          </w:tcPr>
          <w:p>
            <w:r>
              <w:t xml:space="preserve">Megan, Bulan, Tria, Arif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