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22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Use Case dan Activity Diagram</w:t>
            </w:r>
          </w:p>
        </w:tc>
        <w:tc>
          <w:tcPr>
            <w:vAlign w:val="center"/>
          </w:tcPr>
          <w:p>
            <w:r>
              <w:t xml:space="preserve">Dosen memberikan materi dan asisten melakukan praktikum</w:t>
            </w:r>
          </w:p>
        </w:tc>
        <w:tc>
          <w:tcPr>
            <w:vAlign w:val="center"/>
          </w:tcPr>
          <w:p>
            <w:r>
              <w:t xml:space="preserve">Arif, Naufal, Tasya, Ridzieq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ANALISIS DAN PERANCANGAN SI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C (10.10 - 11.50)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