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EE556"/>
    <w:p w14:paraId="62AF04BA">
      <w:pPr>
        <w:numPr>
          <w:ilvl w:val="0"/>
          <w:numId w:val="0"/>
        </w:numPr>
        <w:ind w:leftChars="0"/>
        <w:jc w:val="center"/>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 xml:space="preserve">Government Responsiveness in Complex Public Issues: </w:t>
      </w:r>
    </w:p>
    <w:p w14:paraId="351C197C">
      <w:pPr>
        <w:numPr>
          <w:ilvl w:val="0"/>
          <w:numId w:val="0"/>
        </w:numPr>
        <w:ind w:leftChars="0"/>
        <w:jc w:val="center"/>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A QCA Analysis of Complaints on E</w:t>
      </w:r>
      <w:r>
        <w:rPr>
          <w:rFonts w:hint="default" w:ascii="Times New Roman Bold" w:hAnsi="Times New Roman Bold" w:cs="Times New Roman Bold"/>
          <w:b/>
          <w:bCs/>
          <w:sz w:val="28"/>
          <w:szCs w:val="28"/>
          <w:lang w:val="en-US" w:eastAsia="zh-CN"/>
        </w:rPr>
        <w:noBreakHyphen/>
      </w:r>
      <w:r>
        <w:rPr>
          <w:rFonts w:hint="default" w:ascii="Times New Roman Bold" w:hAnsi="Times New Roman Bold" w:cs="Times New Roman Bold"/>
          <w:b/>
          <w:bCs/>
          <w:sz w:val="28"/>
          <w:szCs w:val="28"/>
          <w:lang w:val="en-US" w:eastAsia="zh-CN"/>
        </w:rPr>
        <w:t>Bike Traffic Violations</w:t>
      </w:r>
    </w:p>
    <w:p w14:paraId="71343729">
      <w:pPr>
        <w:rPr>
          <w:rFonts w:hint="default" w:ascii="Times New Roman Regular" w:hAnsi="Times New Roman Regular" w:cs="Times New Roman Regular"/>
          <w:lang w:val="en-US" w:eastAsia="zh-CN"/>
        </w:rPr>
      </w:pPr>
    </w:p>
    <w:p w14:paraId="42DB8574">
      <w:pPr>
        <w:numPr>
          <w:ilvl w:val="0"/>
          <w:numId w:val="1"/>
        </w:numPr>
        <w:ind w:left="0" w:leftChars="0" w:firstLine="0" w:firstLineChars="0"/>
        <w:rPr>
          <w:rFonts w:hint="eastAsia" w:ascii="Times New Roman Bold" w:hAnsi="Times New Roman Bold" w:cs="Times New Roman Bold"/>
          <w:b/>
          <w:bCs/>
          <w:sz w:val="24"/>
          <w:szCs w:val="32"/>
          <w:lang w:val="en-US" w:eastAsia="zh-CN"/>
        </w:rPr>
      </w:pPr>
      <w:r>
        <w:rPr>
          <w:rFonts w:hint="eastAsia" w:ascii="Times New Roman Bold" w:hAnsi="Times New Roman Bold" w:cs="Times New Roman Bold"/>
          <w:b/>
          <w:bCs/>
          <w:sz w:val="24"/>
          <w:szCs w:val="32"/>
          <w:lang w:val="en-US" w:eastAsia="zh-CN"/>
        </w:rPr>
        <w:t>Research Question</w:t>
      </w:r>
      <w:bookmarkStart w:id="0" w:name="_GoBack"/>
      <w:bookmarkEnd w:id="0"/>
    </w:p>
    <w:p w14:paraId="2C194D12">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Government responses to citizen complaints are not uniform but constitute a clearly selective process. In general, responsiveness is defined as the capacity of government agencies to identify, understand, and act upon citizens’ needs, opinions, and complaints. However, such responsiveness is not merely a passive reaction; rather, it reflects strategic adjustments shaped by institutional constraints and resource conditions (Yang &amp; Pandey, 2007). Whether and how governments respond to complaints are influenced by multiple factors. Existing research shows that responsiveness is determined not only by external environments (such as public pressure and political oversight) but also by internal organizational conditions and decision-making structures (Yang &amp; Pandey, 2007). </w:t>
      </w:r>
    </w:p>
    <w:p w14:paraId="1C272A45">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theory of street-level bureaucracy emphasizes that, at the level of policy implementation, frontline officials possess considerable discretion under conditions of limited resources and complex tasks, and their decisions often exhibit patterns of selective enforcement (Lipsky, 1980; Chang &amp; Brewer, 2022). The actual outcomes of policies largely depend on how these actors weigh feasibility and risk in specific situations. Consequently, not all claims are treated equally; those that are more actionable, cost-controllable, and clearly assignable in terms of responsibility are more likely to enter the implementation process (Lipsky, 1980). In the Chinese context, online complaint and petition systems have been shown to function as important institutionalized feedback mechanisms. Their operation not only serves problem-solving purposes but also embeds incentives for bureaucratic self-protection and the avoidance of accountability (Wang, Cheng, &amp; Liang, 2024). Empirical studies on state–society interaction in China further demonstrate that government responsiveness and citizen claims exhibit a pattern of strategic interaction, whereby the framing, type, and discursive structure of complaints significantly affect governmental responses (Yan &amp; Xie, 2021). From the perspective of public governance, petition and message platforms not only address substantive problems but also play a role in maintaining social stability, filtering risk-related information, and adjusting policy implementation (Pan, 2024).</w:t>
      </w:r>
    </w:p>
    <w:p w14:paraId="7B83AA10">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 complex governance contexts, public policies often pursue multiple objectives simultaneously, and their implementation inevitably involves trade-offs among competing values. Existing research suggests that when policy goals entail both risk control and developmental benefits, governments must dynamically balance safety, efficiency, and economic growth, which constitutes a central tension in modern governance (Roberts, 2023). The case of electric bicycles in Guangdong, particularly in Guangzhou, exemplifies such a governance challenge in megacities, characterized by both large scale and high risk. Statistical data show that by 2024, the number of registered electric bicycles in Guangzhou had exceeded 5.4 million, and it continues to grow at a rate of approximately 100,000 per month (China Daily, 2024). Accompanying this rapid increase, safety and order-related problems have accumulated quickly: since 2023, approximately 1,500 traffic accidents involving electric bicycles have occurred, resulting in hundreds of injuries and fatalities. Problems such as illegal parking and charging are also widespread, contributing to fire hazards and significantly disrupting urban traffic order and public space management.</w:t>
      </w:r>
    </w:p>
    <w:p w14:paraId="167E7B25">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At the same time, electric bicycles play an essential role in urban development and livelihoods. They reduce individual commuting costs, support the platform economy such as food delivery and instant logistics, and provide indispensable mobility for low- and middle-income groups. Therefore, governing electric bicycles is not simply a matter of restriction or prohibition but requires balancing competing objectives, such as convenient mobility versus traffic safety, and economic vitality versus social order (Xinhua News Agency, 2025). This makes governmental responses to such issues more complex and calls for systematic investigation.</w:t>
      </w:r>
    </w:p>
    <w:p w14:paraId="05097348">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Accordingly, this study proposes the following research questions:</w:t>
      </w:r>
    </w:p>
    <w:p w14:paraId="4E2CF535">
      <w:pPr>
        <w:numPr>
          <w:ilvl w:val="0"/>
          <w:numId w:val="2"/>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 the context of electric bicycles as a double-edged issue encompassing both developmental benefits and governance risks, which types of citizen complaints are more likely to elicit active responses from local governments?</w:t>
      </w:r>
    </w:p>
    <w:p w14:paraId="1418CCB2">
      <w:pPr>
        <w:numPr>
          <w:ilvl w:val="0"/>
          <w:numId w:val="2"/>
        </w:numPr>
        <w:ind w:left="0" w:leftChars="0"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What underlying governance logic is revealed through such selective responsiveness and bureaucratic action?</w:t>
      </w:r>
    </w:p>
    <w:p w14:paraId="5AF8A1D0">
      <w:pPr>
        <w:widowControl w:val="0"/>
        <w:numPr>
          <w:numId w:val="0"/>
        </w:numPr>
        <w:jc w:val="both"/>
        <w:rPr>
          <w:rFonts w:hint="default" w:ascii="Times New Roman Regular" w:hAnsi="Times New Roman Regular" w:cs="Times New Roman Regular"/>
          <w:lang w:val="en-US" w:eastAsia="zh-CN"/>
        </w:rPr>
      </w:pPr>
    </w:p>
    <w:p w14:paraId="4DC660D8">
      <w:pPr>
        <w:numPr>
          <w:ilvl w:val="0"/>
          <w:numId w:val="1"/>
        </w:numPr>
        <w:ind w:left="0" w:leftChars="0" w:firstLine="0" w:firstLineChars="0"/>
        <w:rPr>
          <w:rFonts w:hint="default" w:ascii="Times New Roman Bold" w:hAnsi="Times New Roman Bold" w:cs="Times New Roman Bold"/>
          <w:b/>
          <w:bCs/>
          <w:sz w:val="24"/>
          <w:szCs w:val="32"/>
          <w:lang w:val="en-US" w:eastAsia="zh-CN"/>
        </w:rPr>
      </w:pPr>
      <w:r>
        <w:rPr>
          <w:rFonts w:hint="eastAsia" w:ascii="Times New Roman Bold" w:hAnsi="Times New Roman Bold" w:cs="Times New Roman Bold"/>
          <w:b/>
          <w:bCs/>
          <w:sz w:val="24"/>
          <w:szCs w:val="32"/>
          <w:lang w:val="en-US" w:eastAsia="zh-CN"/>
        </w:rPr>
        <w:t>Research Method</w:t>
      </w:r>
    </w:p>
    <w:p w14:paraId="694233CF">
      <w:pPr>
        <w:widowControl w:val="0"/>
        <w:numPr>
          <w:ilvl w:val="1"/>
          <w:numId w:val="1"/>
        </w:numPr>
        <w:ind w:leftChars="0"/>
        <w:jc w:val="both"/>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QCA</w:t>
      </w:r>
    </w:p>
    <w:p w14:paraId="62B13647">
      <w:pPr>
        <w:widowControl w:val="0"/>
        <w:numPr>
          <w:numId w:val="0"/>
        </w:numPr>
        <w:ind w:left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Given that the research problem under investigation exhibits characteristics of multiple interacting factors and complex causal mechanisms, this study adopts Qualitative Comparative Analysis (QCA) as its primary analytical approach. QCA is a comparative method that integrates qualitative reasoning with quantitative techniques. Grounded in set theory, it identifies the necessary and sufficient relationships between configurations of conditions and outcomes through the calibration of cases into sets (Ragin, 2008).</w:t>
      </w:r>
    </w:p>
    <w:p w14:paraId="7D696892">
      <w:pPr>
        <w:widowControl w:val="0"/>
        <w:numPr>
          <w:numId w:val="0"/>
        </w:numPr>
        <w:ind w:left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Unlike conventional statistical methods, QCA emphasizes the asymmetry of causal relationships, meaning that the configurations leading to the presence of an outcome are not simply the inverse of those leading to its absence. In addition, QCA is particularly suitable for small-to-medium sample sizes, making it well suited for research designs that construct cases based on textual data.</w:t>
      </w:r>
    </w:p>
    <w:p w14:paraId="2729990A">
      <w:pPr>
        <w:widowControl w:val="0"/>
        <w:numPr>
          <w:ilvl w:val="1"/>
          <w:numId w:val="1"/>
        </w:numPr>
        <w:ind w:leftChars="0"/>
        <w:jc w:val="both"/>
        <w:rPr>
          <w:rFonts w:hint="default" w:ascii="Times New Roman Bold" w:hAnsi="Times New Roman Bold" w:cs="Times New Roman Bold"/>
          <w:b/>
          <w:bCs/>
          <w:lang w:val="en-US" w:eastAsia="zh-CN"/>
        </w:rPr>
      </w:pPr>
      <w:r>
        <w:rPr>
          <w:rFonts w:hint="eastAsia" w:ascii="Times New Roman Bold" w:hAnsi="Times New Roman Bold" w:cs="Times New Roman Bold"/>
          <w:b/>
          <w:bCs/>
          <w:lang w:val="en-US" w:eastAsia="zh-CN"/>
        </w:rPr>
        <w:t>Research Data</w:t>
      </w:r>
    </w:p>
    <w:p w14:paraId="34B09539">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primary empirical materials for this study consist of citizen complaints concerning dangerous driving and illegal parking of electric bicycles. These data are drawn from the People’s Daily Online Leadership Message Board (人民网领导留言板), focusing on cases from the Guangdong Province region.</w:t>
      </w:r>
    </w:p>
    <w:p w14:paraId="7DFF0BBC">
      <w:pPr>
        <w:numPr>
          <w:numId w:val="0"/>
        </w:numPr>
        <w:ind w:leftChars="0"/>
        <w:jc w:val="center"/>
      </w:pPr>
      <w:r>
        <w:drawing>
          <wp:inline distT="0" distB="0" distL="114300" distR="114300">
            <wp:extent cx="3950335" cy="1223010"/>
            <wp:effectExtent l="0" t="0" r="12065" b="215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3950335" cy="1223010"/>
                    </a:xfrm>
                    <a:prstGeom prst="rect">
                      <a:avLst/>
                    </a:prstGeom>
                    <a:noFill/>
                    <a:ln>
                      <a:noFill/>
                    </a:ln>
                  </pic:spPr>
                </pic:pic>
              </a:graphicData>
            </a:graphic>
          </wp:inline>
        </w:drawing>
      </w:r>
    </w:p>
    <w:p w14:paraId="32A23741">
      <w:pPr>
        <w:numPr>
          <w:ilvl w:val="0"/>
          <w:numId w:val="0"/>
        </w:numPr>
        <w:ind w:leftChars="0"/>
        <w:jc w:val="center"/>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Figure 1</w:t>
      </w:r>
      <w:r>
        <w:rPr>
          <w:rFonts w:hint="default" w:ascii="Times New Roman Regular" w:hAnsi="Times New Roman Regular" w:cs="Times New Roman Regular"/>
          <w:lang w:val="en-US" w:eastAsia="zh-CN"/>
        </w:rPr>
        <w:t>: Source of Research Data</w:t>
      </w:r>
    </w:p>
    <w:p w14:paraId="2CB46D0C">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To ensure both analytical comparability and the salience of the selected cases, this study adopts a purposefully constructed sampling strategy based on two criteria: government responsiveness and public attention. Specifically, the dataset includes two groups of cases:</w:t>
      </w:r>
    </w:p>
    <w:p w14:paraId="4D1299FC">
      <w:pPr>
        <w:numPr>
          <w:ilvl w:val="0"/>
          <w:numId w:val="3"/>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Responsive cases: the nine complaints that received official responses and accumulated the highest number of “likes” (i.e., user endorsements);</w:t>
      </w:r>
    </w:p>
    <w:p w14:paraId="2DFC95F5">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(2)Non-responsive cases: the nine complaints that did not receive official responses but nevertheless ranked among the highest in terms of “likes.”</w:t>
      </w:r>
    </w:p>
    <w:p w14:paraId="073B7AEB">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inclusion of “likes” as a selection criterion serves as a proxy for issue visibility and public resonance, capturing the extent to which a complaint reflects shared grievances or widely recognized problems. By juxtaposing highly salient cases that received responses with those that did not, this design enables a systematic comparison of the conditions under which similar types of issues lead to different governmental outcomes.Accordingly, a total of 18 cases are constructed as the analytical sample for the QCA, allowing for the identification of configurational patterns associated with governmental responsiveness in the context of electric bicycle governance.</w:t>
      </w:r>
    </w:p>
    <w:p w14:paraId="34A81FED">
      <w:pPr>
        <w:widowControl w:val="0"/>
        <w:numPr>
          <w:numId w:val="0"/>
        </w:numPr>
        <w:ind w:leftChars="0"/>
        <w:jc w:val="both"/>
        <w:rPr>
          <w:rFonts w:hint="default" w:ascii="Times New Roman Bold" w:hAnsi="Times New Roman Bold" w:cs="Times New Roman Bold"/>
          <w:b/>
          <w:bCs/>
          <w:lang w:val="en-US" w:eastAsia="zh-CN"/>
        </w:rPr>
      </w:pPr>
      <w:r>
        <w:rPr>
          <w:rFonts w:hint="eastAsia" w:ascii="Times New Roman Bold" w:hAnsi="Times New Roman Bold" w:cs="Times New Roman Bold"/>
          <w:b/>
          <w:bCs/>
          <w:lang w:val="en-US" w:eastAsia="zh-CN"/>
        </w:rPr>
        <w:t xml:space="preserve">2.3 </w:t>
      </w:r>
      <w:r>
        <w:rPr>
          <w:rFonts w:hint="default" w:ascii="Times New Roman Bold" w:hAnsi="Times New Roman Bold" w:cs="Times New Roman Bold"/>
          <w:b/>
          <w:bCs/>
          <w:lang w:val="en-US" w:eastAsia="zh-CN"/>
        </w:rPr>
        <w:t xml:space="preserve">Theory Framework and </w:t>
      </w:r>
      <w:r>
        <w:rPr>
          <w:rFonts w:hint="default" w:ascii="Times New Roman Bold" w:hAnsi="Times New Roman Bold" w:cs="Times New Roman Bold"/>
          <w:b/>
          <w:bCs/>
          <w:color w:val="FF0000"/>
          <w:lang w:val="en-US" w:eastAsia="zh-CN"/>
        </w:rPr>
        <w:t>Prototype</w:t>
      </w:r>
    </w:p>
    <w:p w14:paraId="1C5F5C27">
      <w:pPr>
        <w:ind w:firstLine="42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When constructing the macro-theoretical indicators for the QCA (Qualitative Comparative Analysis) analysis, the theoretical framework of this study references the three-stage model of "naming, blaming, and claiming" proposed by Felstiner et al. (1981). Specifically, "naming" refers to an individual's explicit identification of a vague, uncomfortable experience as "having suffered a certain harm"; "blaming" involves attributing the harm to the fault or responsibility of an external entity; and "claiming" entails formally presenting a demand for remedy to the responsible party or a third party. These three stages constitute the fundamental structure of the content of citizens' upward complaints (Felstiner et al., 1981).</w:t>
      </w:r>
    </w:p>
    <w:p w14:paraId="048C3B75">
      <w:pPr>
        <w:ind w:firstLine="42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 terms of refining the secondary theoretical indicators, the specific operational design of this study is as follows.</w:t>
      </w:r>
    </w:p>
    <w:p w14:paraId="3175F15F">
      <w:pPr>
        <w:ind w:firstLine="42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First, the interest-orientation framework is introduced as the secondary dimension of the "naming" stage, distinguishing between the individual-interest framework and the collective-interest framework. In their analysis of environmental complaint data across 15 major Chinese cities, Yuan and Shen (2021) discovered that the information framing of citizens' complaints significantly influences government responsiveness. When a complaint employs an individual-interest framework, the likelihood of government enforcement action is relatively lower; conversely, when a complaint adopts a collective-interest framework, the government tends to provide more detailed and proactive responses.</w:t>
      </w:r>
    </w:p>
    <w:p w14:paraId="1A74BD3D">
      <w:pPr>
        <w:ind w:firstLine="42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core of the "blaming" stage lies in whether and how the complainant attributes the harm to an identifiable responsible entity. Therefore, this study adopts the "clarity of the target of blame" as the secondary dimension, distinguishing between explicit blame and vague blame. Felstiner et al. (1981) proposed that blaming is the key psychological action that "transforms injury into grievance"; the vaguer the blame, the more likely the action will stop at mere complaining rather than entering formal claiming procedures. Consequently, petition cases with explicit targets of blame and clear logic in their demands are more likely to receive proactive responses; on the contrary, vague blame directed broadly at "relevant departments" or "certain individuals" often falls into inter-departmental buck-passing or inefficient circulation.</w:t>
      </w:r>
    </w:p>
    <w:p w14:paraId="21D2C660">
      <w:pPr>
        <w:ind w:firstLine="42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"claiming" stage is the segment within the complaint text that most directly affects whether and how the government can act. This study unpacks this stage from two sub-dimensions: the type of demand and the degree of institutionalization of the demand. The type of demand is divided into maintenance demands and growth demands. Kumar’s (2022) study on digital complaints in the water sector revealed that maintenance demands, such as requesting "repairs of damages" or "clearing of blockages," have a response rate of approximately 80%, whereas growth demands, such as requesting "the addition of new facilities" or "the expansion of service scope," have a response rate of only around 25%. The degree of institutionalization of the demand examines whether the complaint text establishes a direct correlation with existing laws, regulations, administrative procedures, or policy documents. In their research on China's online petition system, Zhao et al. (2023) found that whether the complaint text cites local regulations and whether it points to explicit administrative procedures constitute key antecedent signals that trigger programmatic and standardized processing. Furthermore, the concept of "Rightful Resistance" proposed by O’Brien (1996) and the concept of "Resistance by Law" (Yi Fa Kang Zheng) proposed by Yu Jianrong (2005) also indicate that upward protests within an institutionalized framework are more likely to achieve their goals.</w:t>
      </w:r>
    </w:p>
    <w:p w14:paraId="19FE498B">
      <w:pPr>
        <w:rPr>
          <w:rFonts w:hint="default" w:ascii="Times New Roman Regular" w:hAnsi="Times New Roman Regular" w:cs="Times New Roman Regular"/>
          <w:lang w:val="en-US" w:eastAsia="zh-CN"/>
        </w:rPr>
      </w:pPr>
    </w:p>
    <w:p w14:paraId="61164F25">
      <w:pPr>
        <w:ind w:firstLine="42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rPr>
        <w:drawing>
          <wp:inline distT="0" distB="0" distL="114300" distR="114300">
            <wp:extent cx="4701540" cy="1773555"/>
            <wp:effectExtent l="0" t="0" r="22860" b="4445"/>
            <wp:docPr id="3" name="图片 3" descr="/Users/pdmac/Library/Containers/com.kingsoft.wpsoffice.mac/Data/tmp/photoeditapp/2026052414222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pdmac/Library/Containers/com.kingsoft.wpsoffice.mac/Data/tmp/photoeditapp/20260524142227/temp.pngtemp"/>
                    <pic:cNvPicPr>
                      <a:picLocks noChangeAspect="1"/>
                    </pic:cNvPicPr>
                  </pic:nvPicPr>
                  <pic:blipFill>
                    <a:blip r:embed="rId5"/>
                    <a:stretch>
                      <a:fillRect/>
                    </a:stretch>
                  </pic:blipFill>
                  <pic:spPr>
                    <a:xfrm>
                      <a:off x="0" y="0"/>
                      <a:ext cx="4701540" cy="1773555"/>
                    </a:xfrm>
                    <a:prstGeom prst="rect">
                      <a:avLst/>
                    </a:prstGeom>
                    <a:noFill/>
                    <a:ln>
                      <a:noFill/>
                    </a:ln>
                  </pic:spPr>
                </pic:pic>
              </a:graphicData>
            </a:graphic>
          </wp:inline>
        </w:drawing>
      </w:r>
    </w:p>
    <w:p w14:paraId="2DD5DCAD">
      <w:pPr>
        <w:numPr>
          <w:ilvl w:val="0"/>
          <w:numId w:val="0"/>
        </w:numPr>
        <w:ind w:leftChars="0"/>
        <w:jc w:val="center"/>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 xml:space="preserve">Figure </w:t>
      </w:r>
      <w:r>
        <w:rPr>
          <w:rFonts w:hint="default" w:ascii="Times New Roman Regular" w:hAnsi="Times New Roman Regular" w:cs="Times New Roman Regular"/>
          <w:lang w:val="en-US" w:eastAsia="zh-CN"/>
        </w:rPr>
        <w:t>2: The Model of Prototype</w:t>
      </w:r>
    </w:p>
    <w:p w14:paraId="795B0F12">
      <w:pPr>
        <w:ind w:firstLine="420" w:firstLineChars="20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configurational nature of the “naming–blaming–claiming” framework involves multiple interacting conditions shaping government responses. fsQCA is therefore appropriate, as it captures causal complexity, equifinality, and asymmetry, enabling the identification of distinct combinations of complaint features that lead to responsiveness in a multi-factor governance context.</w:t>
      </w:r>
    </w:p>
    <w:p w14:paraId="169350CF">
      <w:pPr>
        <w:ind w:firstLine="420" w:firstLineChars="200"/>
        <w:rPr>
          <w:rFonts w:hint="default" w:ascii="Times New Roman Regular" w:hAnsi="Times New Roman Regular" w:cs="Times New Roman Regular"/>
          <w:lang w:val="en-US" w:eastAsia="zh-CN"/>
        </w:rPr>
      </w:pPr>
    </w:p>
    <w:p w14:paraId="6809E3AF">
      <w:pPr>
        <w:numPr>
          <w:ilvl w:val="0"/>
          <w:numId w:val="1"/>
        </w:numPr>
        <w:ind w:left="0" w:leftChars="0" w:firstLine="0" w:firstLineChars="0"/>
        <w:rPr>
          <w:rFonts w:hint="default" w:ascii="Times New Roman Bold" w:hAnsi="Times New Roman Bold" w:cs="Times New Roman Bold"/>
          <w:b/>
          <w:bCs/>
          <w:sz w:val="24"/>
          <w:szCs w:val="32"/>
          <w:lang w:val="en-US" w:eastAsia="zh-CN"/>
        </w:rPr>
      </w:pPr>
      <w:r>
        <w:rPr>
          <w:rFonts w:hint="default" w:ascii="Times New Roman Bold" w:hAnsi="Times New Roman Bold" w:cs="Times New Roman Bold"/>
          <w:b/>
          <w:bCs/>
          <w:sz w:val="24"/>
          <w:szCs w:val="32"/>
          <w:lang w:val="en-US" w:eastAsia="zh-CN"/>
        </w:rPr>
        <w:t>Theoretical Significance</w:t>
      </w:r>
    </w:p>
    <w:p w14:paraId="0B837B99">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This study engages in dialogue with the literature on responsiveness and street-level bureaucracy in the field of public administration. Existing studies emphasize that government responsiveness is selective, shaped by institutional constraints and discretionary power in implementation, but they largely focus on macro-level structures or organizational perspectives. In contrast, this study operationalizes the mechanism of “selective responsiveness” into identifiable configurational conditions at the level of complaint texts, demonstrating that government responses are not driven by single factors but by combinations of multiple elements. In doing so, it addresses the limitation in the responsiveness literature regarding the insufficient treatment of causal complexity.</w:t>
      </w:r>
    </w:p>
    <w:p w14:paraId="0E70553A">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Building on the “naming–blaming–claiming” model proposed by Felstiner et al. (1981), this study introduces the framework into the Chinese context of state–society interaction and government responsiveness, thereby achieving a cross-level connection from the micro-level formation of individual grievances to macro-level governmental action. While existing research primarily focuses on how grievances are constructed, this study transforms them into operational analytical dimensions—such as interest framing, clarity of blame attribution, and claim structure—to explain how grievances are responded to.</w:t>
      </w:r>
    </w:p>
    <w:p w14:paraId="65BEFF1F">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Furthermore, this study embeds the above theoretical perspectives within the analytical framework of “double-edged” policy issues, thereby enriching existing governance research by providing a micro-level explanation of how governments manage the trade-off between development and risk.</w:t>
      </w:r>
    </w:p>
    <w:p w14:paraId="7E69A664">
      <w:pPr>
        <w:rPr>
          <w:rFonts w:hint="default" w:ascii="Times New Roman Regular" w:hAnsi="Times New Roman Regular" w:cs="Times New Roman Regular"/>
          <w:lang w:val="en-US" w:eastAsia="zh-CN"/>
        </w:rPr>
      </w:pPr>
    </w:p>
    <w:p w14:paraId="73261741">
      <w:pPr>
        <w:rPr>
          <w:rFonts w:hint="default" w:ascii="Times New Roman Regular" w:hAnsi="Times New Roman Regular" w:cs="Times New Roman Regular"/>
          <w:lang w:val="en-US" w:eastAsia="zh-CN"/>
        </w:rPr>
      </w:pPr>
      <w:r>
        <w:rPr>
          <w:rFonts w:hint="default" w:ascii="Times New Roman Bold" w:hAnsi="Times New Roman Bold" w:cs="Times New Roman Bold"/>
          <w:b/>
          <w:bCs/>
          <w:sz w:val="24"/>
          <w:szCs w:val="32"/>
          <w:lang w:val="en-US" w:eastAsia="zh-CN"/>
        </w:rPr>
        <w:t>References</w:t>
      </w:r>
    </w:p>
    <w:p w14:paraId="7B2E8CDA">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Felstiner, W. L., Abel, R. L., &amp; Sarat, A. (2017). The emergence and transformation of disputes: Naming, blaming, claiming…. In Theoretical and Empirical Studies of Rights (pp. 255-306). Routledge.</w:t>
      </w:r>
    </w:p>
    <w:p w14:paraId="766FAA17">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Yuan, Z., &amp; Shen, C. (2024). How citizens’ information framing enhances government responsiveness for urban sustainable development? Evidence from China’s air pollution governance. Sustainable Cities and Society, 112, 105586.</w:t>
      </w:r>
    </w:p>
    <w:p w14:paraId="755A8EA4">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Felstiner, W. L., Abel, R. L., &amp; Sarat, A. (2017). The emergence and transformation of disputes: Naming, blaming, claiming…. In Theoretical and Empirical Studies of Rights (pp. 255-306). Routledge.</w:t>
      </w:r>
    </w:p>
    <w:p w14:paraId="371E1E09">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Kumar, T. (2025). How the content of digital complaints shapes bureaucratic responsiveness in Mumbai. Governance, 38(2), e12889.</w:t>
      </w:r>
    </w:p>
    <w:p w14:paraId="15EB3B3F">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Zhao, X., &amp; Cheng, Z. (2024). The effects of conflicting economic and environmental goals on local governments’ responses to citizens’ complaints: evidence from China. Public Administration and Policy, 27(3), 275-290.</w:t>
      </w:r>
    </w:p>
    <w:p w14:paraId="5FB3B711">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O'brien, K. J. (1996). Rightful resistance. World politics, 49(1), 31-55.</w:t>
      </w:r>
    </w:p>
    <w:p w14:paraId="54C29997">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于建嵘. (2004). 当代中国农民的“以法抗争”——关于农民维权活动的一个解释框架. 社会学研究, (2), 49–55.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"https://www.google.com/search?q=https://doi.org/10.19934/j.cnki.shxyj.2004.02.005" \t "/Users/pdmac/Documents\\x/_blank"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t>https://doi.org/10.19934/j.cnki.shxyj.2004.02.005</w:t>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w:t>
      </w:r>
    </w:p>
    <w:p w14:paraId="777BAB1C">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Chang, A., &amp; Brewer, G. A. (2022). Street-level bureaucracy in public administration: A systematic literature review. Public Management Review.</w:t>
      </w:r>
    </w:p>
    <w:p w14:paraId="1E5F7DCD">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Lipsky, M. (1980). Street-level bureaucracy: Dilemmas of the individual in public services. Russell Sage Foundation.</w:t>
      </w:r>
    </w:p>
    <w:p w14:paraId="31D30A98">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Pan, X. (2024). How is responsive petition governance possible? Journal of Hunan Agricultural University (Social Sciences Edition).</w:t>
      </w:r>
    </w:p>
    <w:p w14:paraId="75518463">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Wang, H. H., Cheng, E. W., &amp; Liang, H. (2024). How institutionalized feedback works: Online citizen complaints and local government responsiveness in China. Governance.</w:t>
      </w:r>
    </w:p>
    <w:p w14:paraId="243EDEE7">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Yan, H., &amp; Xie, Q. (2021). Research on the influence of citizens’ demand on government responsiveness discourse: An empirical analysis based on the 12345 platform data. Journal of Northeastern University (Social Science), 23(1), 78–86.</w:t>
      </w:r>
    </w:p>
    <w:p w14:paraId="2AF8FBA0">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Yang, K., &amp; Pandey, S. K. (2007). Public responsiveness of government organizations: Testing a preliminary model. Public Performance &amp; Management Review, 31(2), 215–240.</w:t>
      </w:r>
    </w:p>
    <w:p w14:paraId="72B17557">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China Daily. (2024, December 5). Guangzhou plans to regulate the total number of electric bicycles. https://govt.chinadaily.com.cn</w:t>
      </w:r>
    </w:p>
    <w:p w14:paraId="210F985E">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Roberts, A. (2023). Risk, reward, and resilience framework: Integrative policy making in a complex world. Journal of International Economic Law, 26(2), 233–265. https://doi.org/10.1093/jiel/jgad009</w:t>
      </w:r>
    </w:p>
    <w:p w14:paraId="1C3885CC">
      <w:pPr>
        <w:numPr>
          <w:ilvl w:val="0"/>
          <w:numId w:val="4"/>
        </w:numPr>
        <w:ind w:left="425" w:leftChars="0" w:hanging="425"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新华网. (2025, January 4). 超大城市直面电动自行车治理难题. https://www.xinhuanet.com</w:t>
      </w:r>
    </w:p>
    <w:p w14:paraId="5FFFAE64">
      <w:pPr>
        <w:ind w:firstLine="420" w:firstLineChars="200"/>
        <w:rPr>
          <w:rFonts w:hint="default" w:ascii="Times New Roman Regular" w:hAnsi="Times New Roman Regular" w:cs="Times New Roman Regular"/>
          <w:lang w:val="en-US" w:eastAsia="zh-CN"/>
        </w:rPr>
      </w:pPr>
    </w:p>
    <w:p w14:paraId="33BBC0D0">
      <w:pPr>
        <w:ind w:firstLine="420" w:firstLineChars="200"/>
        <w:rPr>
          <w:rFonts w:hint="default"/>
          <w:lang w:val="en-US" w:eastAsia="zh-CN"/>
        </w:rPr>
      </w:pPr>
    </w:p>
    <w:p w14:paraId="59F29A1D">
      <w:pPr>
        <w:keepNext w:val="0"/>
        <w:keepLines w:val="0"/>
        <w:widowControl/>
        <w:suppressLineNumbers w:val="0"/>
        <w:jc w:val="left"/>
        <w:rPr>
          <w:rFonts w:hint="default" w:ascii="Arial" w:hAnsi="Arial" w:eastAsia="宋体" w:cs="Arial"/>
          <w:i w:val="0"/>
          <w:iCs w:val="0"/>
          <w:caps w:val="0"/>
          <w:color w:val="222222"/>
          <w:spacing w:val="0"/>
          <w:kern w:val="0"/>
          <w:sz w:val="26"/>
          <w:szCs w:val="26"/>
          <w:shd w:val="clear" w:fill="FFFFFF"/>
          <w:lang w:val="en-US" w:eastAsia="zh-CN" w:bidi="ar"/>
        </w:rPr>
      </w:pPr>
    </w:p>
    <w:p w14:paraId="322370CA">
      <w:pPr>
        <w:rPr>
          <w:rFonts w:hint="default"/>
          <w:lang w:val="en-US" w:eastAsia="zh-CN"/>
        </w:rPr>
      </w:pPr>
    </w:p>
    <w:p w14:paraId="216A423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egoe U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PingFang SC">
    <w:panose1 w:val="020B0400000000000000"/>
    <w:charset w:val="86"/>
    <w:family w:val="auto"/>
    <w:pitch w:val="default"/>
    <w:sig w:usb0="A00002FF" w:usb1="7ACFFDFB" w:usb2="00000017"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冬青黑体简体中文">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56C1AF"/>
    <w:multiLevelType w:val="singleLevel"/>
    <w:tmpl w:val="BB56C1AF"/>
    <w:lvl w:ilvl="0" w:tentative="0">
      <w:start w:val="1"/>
      <w:numFmt w:val="decimal"/>
      <w:lvlText w:val="[%1]"/>
      <w:lvlJc w:val="left"/>
      <w:pPr>
        <w:tabs>
          <w:tab w:val="left" w:pos="420"/>
        </w:tabs>
        <w:ind w:left="425" w:leftChars="0" w:hanging="425" w:firstLineChars="0"/>
      </w:pPr>
      <w:rPr>
        <w:rFonts w:hint="default"/>
      </w:rPr>
    </w:lvl>
  </w:abstractNum>
  <w:abstractNum w:abstractNumId="1">
    <w:nsid w:val="EF7F237F"/>
    <w:multiLevelType w:val="singleLevel"/>
    <w:tmpl w:val="EF7F237F"/>
    <w:lvl w:ilvl="0" w:tentative="0">
      <w:start w:val="1"/>
      <w:numFmt w:val="decimal"/>
      <w:suff w:val="space"/>
      <w:lvlText w:val="(%1)"/>
      <w:lvlJc w:val="left"/>
    </w:lvl>
  </w:abstractNum>
  <w:abstractNum w:abstractNumId="2">
    <w:nsid w:val="F57CFDFD"/>
    <w:multiLevelType w:val="multilevel"/>
    <w:tmpl w:val="F57CFDFD"/>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DB23600"/>
    <w:multiLevelType w:val="singleLevel"/>
    <w:tmpl w:val="FDB23600"/>
    <w:lvl w:ilvl="0" w:tentative="0">
      <w:start w:val="1"/>
      <w:numFmt w:val="decimal"/>
      <w:suff w:val="space"/>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F9C577"/>
    <w:rsid w:val="0FF9C577"/>
    <w:rsid w:val="530C1F22"/>
    <w:rsid w:val="BF5FE2C7"/>
    <w:rsid w:val="BFFEE658"/>
    <w:rsid w:val="E5AE7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FollowedHyperlink"/>
    <w:basedOn w:val="4"/>
    <w:uiPriority w:val="0"/>
    <w:rPr>
      <w:color w:val="464FEB"/>
      <w:u w:val="none"/>
    </w:rPr>
  </w:style>
  <w:style w:type="character" w:styleId="7">
    <w:name w:val="Emphasis"/>
    <w:basedOn w:val="4"/>
    <w:qFormat/>
    <w:uiPriority w:val="0"/>
    <w:rPr>
      <w:i/>
    </w:rPr>
  </w:style>
  <w:style w:type="character" w:styleId="8">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2026-05-25T11:44:00Z</dcterms:created>
  <dc:creator>Friedrich</dc:creator>
  <cp:lastModifiedBy>Friedrich</cp:lastModifiedBy>
  <dcterms:modified xsi:type="dcterms:W3CDTF">2026-05-26T14:51:07Z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D46256C575A4F0940574126A02A56009_41</vt:lpwstr>
  </property>
</Properties>
</file>