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56CED8"/>
    <w:p w14:paraId="351A1CBC"/>
    <w:p w14:paraId="178EECE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center"/>
        <w:textAlignment w:val="auto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Style w:val="8"/>
          <w:rFonts w:hint="default" w:ascii="Times New Roman Bold" w:hAnsi="Times New Roman Bold" w:cs="Times New Roman Bold"/>
          <w:b/>
          <w:bCs/>
          <w:i w:val="0"/>
          <w:iCs w:val="0"/>
          <w:sz w:val="28"/>
          <w:szCs w:val="28"/>
        </w:rPr>
        <w:t>Au</w:t>
      </w:r>
      <w:bookmarkStart w:id="0" w:name="_GoBack"/>
      <w:bookmarkEnd w:id="0"/>
      <w:r>
        <w:rPr>
          <w:rStyle w:val="8"/>
          <w:rFonts w:hint="default" w:ascii="Times New Roman Bold" w:hAnsi="Times New Roman Bold" w:cs="Times New Roman Bold"/>
          <w:b/>
          <w:bCs/>
          <w:i w:val="0"/>
          <w:iCs w:val="0"/>
          <w:sz w:val="28"/>
          <w:szCs w:val="28"/>
        </w:rPr>
        <w:t>to-QCA: Technical Documentation</w:t>
      </w:r>
    </w:p>
    <w:p w14:paraId="58C58F83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  <w:t>Overview</w:t>
      </w:r>
    </w:p>
    <w:p w14:paraId="0F9D525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Auto-QCA is an automated Qualitative Comparative Analysis (QCA) tool designed for social science researchers. Built on the Python programming language and the Streamlit framework, it operates as an interactive web-based interface within a browser environment.</w:t>
      </w:r>
    </w:p>
    <w:p w14:paraId="4034BF9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 xml:space="preserve">The core innovation of the tool lies in integrating Large Language Models (LLMs) into the text 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/>
        </w:rPr>
        <w:t xml:space="preserve">(Chinese mainly) 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coding stage of QCA, enabling an end-to-end automated workflow from raw textual data to complete QCA results. The entire process is conducted without requiring users to manually write or modify code.</w:t>
      </w:r>
    </w:p>
    <w:p w14:paraId="16FFF830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 w:eastAsia="zh-CN"/>
        </w:rPr>
        <w:t>The tool’s source code is hosted on GitHub, and researchers can launch it locally by following the steps below:</w:t>
      </w:r>
    </w:p>
    <w:p w14:paraId="47B67E19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0051C2"/>
          <w:kern w:val="0"/>
          <w:sz w:val="21"/>
          <w:szCs w:val="21"/>
          <w:lang w:val="en-US" w:eastAsia="zh-CN" w:bidi="ar"/>
        </w:rPr>
        <w:t>git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 xml:space="preserve"> clone https://github.com/</w:t>
      </w:r>
      <w:r>
        <w:rPr>
          <w:rFonts w:hint="default" w:ascii="Times New Roman" w:hAnsi="Times New Roman" w:eastAsia="宋体" w:cs="Times New Roman"/>
          <w:color w:val="2B303B"/>
          <w:kern w:val="0"/>
          <w:sz w:val="21"/>
          <w:szCs w:val="21"/>
          <w:lang w:val="en-US" w:eastAsia="zh-CN" w:bidi="ar"/>
        </w:rPr>
        <w:t>[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用户名</w:t>
      </w:r>
      <w:r>
        <w:rPr>
          <w:rFonts w:hint="default" w:ascii="Times New Roman" w:hAnsi="Times New Roman" w:eastAsia="宋体" w:cs="Times New Roman"/>
          <w:color w:val="2B303B"/>
          <w:kern w:val="0"/>
          <w:sz w:val="21"/>
          <w:szCs w:val="21"/>
          <w:lang w:val="en-US" w:eastAsia="zh-CN" w:bidi="ar"/>
        </w:rPr>
        <w:t>]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 xml:space="preserve">/auto-qca.git </w:t>
      </w:r>
    </w:p>
    <w:p w14:paraId="3CBF7E9C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color w:val="B34A00"/>
          <w:kern w:val="0"/>
          <w:sz w:val="21"/>
          <w:szCs w:val="21"/>
          <w:lang w:val="en-US" w:eastAsia="zh-CN" w:bidi="ar"/>
        </w:rPr>
        <w:t>cd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 xml:space="preserve"> auto-qca </w:t>
      </w:r>
    </w:p>
    <w:p w14:paraId="507E8061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 xml:space="preserve">pip </w:t>
      </w:r>
      <w:r>
        <w:rPr>
          <w:rFonts w:hint="default" w:ascii="Times New Roman" w:hAnsi="Times New Roman" w:eastAsia="宋体" w:cs="Times New Roman"/>
          <w:color w:val="0051C2"/>
          <w:kern w:val="0"/>
          <w:sz w:val="21"/>
          <w:szCs w:val="21"/>
          <w:lang w:val="en-US" w:eastAsia="zh-CN" w:bidi="ar"/>
        </w:rPr>
        <w:t>install</w:t>
      </w: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 xml:space="preserve"> -r requirements.txt </w:t>
      </w:r>
    </w:p>
    <w:p w14:paraId="57FB0F28">
      <w:pPr>
        <w:keepNext w:val="0"/>
        <w:keepLines w:val="0"/>
        <w:widowControl/>
        <w:suppressLineNumbers w:val="0"/>
        <w:ind w:firstLine="210" w:firstLineChars="100"/>
        <w:jc w:val="left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streamlit run app.py</w:t>
      </w:r>
    </w:p>
    <w:p w14:paraId="6F08C33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</w:p>
    <w:p w14:paraId="2BBEEA3F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  <w:t>Functional Modules and Required Data</w:t>
      </w:r>
    </w:p>
    <w:p w14:paraId="27FCCDE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The tool operates through seven sequential stages, covering the full analytical pipeline of QCA:</w:t>
      </w:r>
    </w:p>
    <w:p w14:paraId="5E48CA4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cs="Times New Roman Bold"/>
          <w:b/>
          <w:bCs/>
          <w:sz w:val="21"/>
          <w:szCs w:val="21"/>
        </w:rPr>
      </w:pPr>
      <w:r>
        <w:rPr>
          <w:rStyle w:val="8"/>
          <w:rFonts w:hint="default" w:ascii="Times New Roman Bold" w:hAnsi="Times New Roman Bold" w:cs="Times New Roman Bold"/>
          <w:b/>
          <w:bCs/>
          <w:i w:val="0"/>
          <w:iCs w:val="0"/>
          <w:sz w:val="21"/>
          <w:szCs w:val="21"/>
        </w:rPr>
        <w:t>Stage 1: Data Input</w:t>
      </w:r>
    </w:p>
    <w:p w14:paraId="2597FB2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</w:pPr>
      <w:r>
        <w:drawing>
          <wp:inline distT="0" distB="0" distL="114300" distR="114300">
            <wp:extent cx="4220845" cy="2104390"/>
            <wp:effectExtent l="0" t="0" r="20955" b="3810"/>
            <wp:docPr id="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48DB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The tool accepts text datasets in CSV format, where each row represents a case and includes two columns:</w:t>
      </w:r>
    </w:p>
    <w:p w14:paraId="74CA870C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0" w:left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Case text</w:t>
      </w:r>
    </w:p>
    <w:p w14:paraId="79D5CDB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0" w:left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/>
        </w:rPr>
        <w:t xml:space="preserve">(2) 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Outcome variable (coded as 0/1)</w:t>
      </w:r>
    </w:p>
    <w:p w14:paraId="2487F84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Users may upload CSV files directly or manually paste data into the interface.</w:t>
      </w:r>
    </w:p>
    <w:p w14:paraId="20C963A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Style w:val="8"/>
          <w:rFonts w:hint="default" w:ascii="Times New Roman Bold" w:hAnsi="Times New Roman Bold" w:cs="Times New Roman Bold"/>
          <w:b/>
          <w:bCs/>
          <w:i w:val="0"/>
          <w:iCs w:val="0"/>
          <w:sz w:val="21"/>
          <w:szCs w:val="21"/>
        </w:rPr>
      </w:pPr>
      <w:r>
        <w:rPr>
          <w:rStyle w:val="8"/>
          <w:rFonts w:hint="default" w:ascii="Times New Roman Bold" w:hAnsi="Times New Roman Bold" w:cs="Times New Roman Bold"/>
          <w:b/>
          <w:bCs/>
          <w:i w:val="0"/>
          <w:iCs w:val="0"/>
          <w:sz w:val="21"/>
          <w:szCs w:val="21"/>
        </w:rPr>
        <w:t>Stage 2: Model Configuration</w:t>
      </w:r>
    </w:p>
    <w:p w14:paraId="65C0D266">
      <w:r>
        <w:drawing>
          <wp:inline distT="0" distB="0" distL="114300" distR="114300">
            <wp:extent cx="4279900" cy="1721485"/>
            <wp:effectExtent l="0" t="0" r="12700" b="5715"/>
            <wp:docPr id="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172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310612">
      <w:r>
        <w:drawing>
          <wp:inline distT="0" distB="0" distL="114300" distR="114300">
            <wp:extent cx="4268470" cy="1991995"/>
            <wp:effectExtent l="0" t="0" r="24130" b="14605"/>
            <wp:docPr id="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68470" cy="199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AB9FE9">
      <w:pPr>
        <w:rPr>
          <w:rFonts w:hint="default"/>
        </w:rPr>
      </w:pPr>
      <w:r>
        <w:drawing>
          <wp:inline distT="0" distB="0" distL="114300" distR="114300">
            <wp:extent cx="4253230" cy="1751330"/>
            <wp:effectExtent l="0" t="0" r="13970" b="1270"/>
            <wp:docPr id="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9CE50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</w:pPr>
    </w:p>
    <w:p w14:paraId="582002B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Researchers define theoretical indicators, each comprising three components:</w:t>
      </w:r>
    </w:p>
    <w:p w14:paraId="21D77D45">
      <w:pPr>
        <w:keepNext w:val="0"/>
        <w:keepLines w:val="0"/>
        <w:pageBreakBefore w:val="0"/>
        <w:widowControl/>
        <w:numPr>
          <w:ilvl w:val="0"/>
          <w:numId w:val="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0" w:left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Indicator name</w:t>
      </w:r>
    </w:p>
    <w:p w14:paraId="50DFD62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0" w:left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/>
        </w:rPr>
        <w:t xml:space="preserve">(2) 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Theoretical description (including literature references and conceptual definitions)</w:t>
      </w:r>
    </w:p>
    <w:p w14:paraId="135844E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0" w:left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/>
        </w:rPr>
        <w:t xml:space="preserve">(3) 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Operationalization criteria (explicit coding rules for high/medium/low levels)</w:t>
      </w:r>
    </w:p>
    <w:p w14:paraId="28F40FF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Researchers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/>
        </w:rPr>
        <w:t xml:space="preserve"> need to choose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sz w:val="21"/>
          <w:szCs w:val="21"/>
        </w:rPr>
        <w:t>:</w:t>
      </w:r>
    </w:p>
    <w:p w14:paraId="693ABC1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0" w:leftChars="0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sz w:val="21"/>
          <w:szCs w:val="21"/>
        </w:rPr>
        <w:t>fsQCA (fuzzy-set QCA)</w:t>
      </w:r>
    </w:p>
    <w:p w14:paraId="59236B57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360" w:leftChars="0" w:firstLine="0" w:firstLineChars="0"/>
        <w:textAlignment w:val="auto"/>
        <w:rPr>
          <w:rFonts w:hint="default" w:ascii="Times New Roman" w:hAnsi="Times New Roman" w:cs="Times New Roman"/>
          <w:b w:val="0"/>
          <w:bCs w:val="0"/>
          <w:sz w:val="21"/>
          <w:szCs w:val="21"/>
        </w:rPr>
      </w:pP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sz w:val="21"/>
          <w:szCs w:val="21"/>
        </w:rPr>
        <w:t>csQCA (crisp-set QCA)</w:t>
      </w:r>
    </w:p>
    <w:p w14:paraId="4497C1C6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 xml:space="preserve">At this stage, 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/>
        </w:rPr>
        <w:t>researchers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 xml:space="preserve"> also 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/>
        </w:rPr>
        <w:t xml:space="preserve">need to 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configure API keys and select the desired language model.</w:t>
      </w:r>
    </w:p>
    <w:p w14:paraId="3EC2972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</w:pPr>
    </w:p>
    <w:p w14:paraId="5130EB9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Style w:val="8"/>
          <w:rFonts w:hint="default" w:ascii="Times New Roman Bold" w:hAnsi="Times New Roman Bold" w:cs="Times New Roman Bold"/>
          <w:b/>
          <w:bCs/>
          <w:i w:val="0"/>
          <w:iCs w:val="0"/>
          <w:sz w:val="21"/>
          <w:szCs w:val="21"/>
        </w:rPr>
      </w:pPr>
      <w:r>
        <w:rPr>
          <w:rStyle w:val="8"/>
          <w:rFonts w:hint="default" w:ascii="Times New Roman Bold" w:hAnsi="Times New Roman Bold" w:cs="Times New Roman Bold"/>
          <w:b/>
          <w:bCs/>
          <w:i w:val="0"/>
          <w:iCs w:val="0"/>
          <w:sz w:val="21"/>
          <w:szCs w:val="21"/>
        </w:rPr>
        <w:t>Stage 3: AI-Based Scoring and Validation</w:t>
      </w:r>
    </w:p>
    <w:p w14:paraId="3CEB6EA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drawing>
          <wp:inline distT="0" distB="0" distL="114300" distR="114300">
            <wp:extent cx="4262120" cy="2620010"/>
            <wp:effectExtent l="0" t="0" r="5080" b="21590"/>
            <wp:docPr id="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8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6212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2BFD8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Using an OpenAI-compatible API, the tool evaluates each case text according to the theoretical indicators and operational criteria.</w:t>
      </w:r>
    </w:p>
    <w:p w14:paraId="53ECFDE1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 xml:space="preserve">In </w:t>
      </w:r>
      <w:r>
        <w:rPr>
          <w:rStyle w:val="8"/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fsQCA mode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, scores range from 0.00 to 1.00</w:t>
      </w:r>
    </w:p>
    <w:p w14:paraId="5D535246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720" w:hanging="36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 xml:space="preserve">In </w:t>
      </w:r>
      <w:r>
        <w:rPr>
          <w:rStyle w:val="8"/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csQCA mode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, scores are binary (0 or 1)</w:t>
      </w:r>
    </w:p>
    <w:p w14:paraId="1E2C149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A score distribution visualization is generated. Researchers can review AI-generated coding rationales for each case and manually adjust scores if necessary.</w:t>
      </w:r>
    </w:p>
    <w:p w14:paraId="51073991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eastAsia" w:ascii="Times New Roman Regular" w:hAnsi="Times New Roman Regular" w:eastAsia="Segoe UI" w:cs="Times New Roman Regular"/>
          <w:i w:val="0"/>
          <w:iCs w:val="0"/>
          <w:sz w:val="21"/>
          <w:szCs w:val="21"/>
          <w:lang w:val="en-US" w:eastAsia="zh-CN"/>
        </w:rPr>
      </w:pPr>
      <w:r>
        <w:rPr>
          <w:rFonts w:hint="eastAsia" w:ascii="Times New Roman Regular" w:hAnsi="Times New Roman Regular" w:eastAsia="Segoe UI" w:cs="Times New Roman Regular"/>
          <w:i w:val="0"/>
          <w:iCs w:val="0"/>
          <w:sz w:val="21"/>
          <w:szCs w:val="21"/>
          <w:lang w:val="en-US" w:eastAsia="zh-CN"/>
        </w:rPr>
        <w:t>Prompts for this stage is as follow：</w:t>
      </w:r>
    </w:p>
    <w:p w14:paraId="5CF1D6E9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drawing>
          <wp:inline distT="0" distB="0" distL="114300" distR="114300">
            <wp:extent cx="3261360" cy="3924935"/>
            <wp:effectExtent l="0" t="0" r="15240" b="12065"/>
            <wp:docPr id="2" name="图片 12" descr="/Users/pdmac/Library/Containers/com.kingsoft.wpsoffice.mac/Data/tmp/photoeditapp/20260526151812/temp.pngte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 descr="/Users/pdmac/Library/Containers/com.kingsoft.wpsoffice.mac/Data/tmp/photoeditapp/20260526151812/temp.pngtemp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6136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6F73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Style w:val="8"/>
          <w:rFonts w:hint="default" w:ascii="Times New Roman Bold" w:hAnsi="Times New Roman Bold" w:cs="Times New Roman Bold"/>
          <w:b/>
          <w:bCs/>
          <w:i w:val="0"/>
          <w:iCs w:val="0"/>
          <w:sz w:val="21"/>
          <w:szCs w:val="21"/>
        </w:rPr>
      </w:pPr>
    </w:p>
    <w:p w14:paraId="2FF448C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Style w:val="8"/>
          <w:rFonts w:hint="default" w:ascii="Times New Roman Bold" w:hAnsi="Times New Roman Bold" w:cs="Times New Roman Bold"/>
          <w:b/>
          <w:bCs/>
          <w:i w:val="0"/>
          <w:iCs w:val="0"/>
          <w:sz w:val="21"/>
          <w:szCs w:val="21"/>
        </w:rPr>
      </w:pPr>
      <w:r>
        <w:rPr>
          <w:rStyle w:val="8"/>
          <w:rFonts w:hint="default" w:ascii="Times New Roman Bold" w:hAnsi="Times New Roman Bold" w:cs="Times New Roman Bold"/>
          <w:b/>
          <w:bCs/>
          <w:i w:val="0"/>
          <w:iCs w:val="0"/>
          <w:sz w:val="21"/>
          <w:szCs w:val="21"/>
        </w:rPr>
        <w:t>Stage 4: Fuzzy-Set Calibration</w:t>
      </w:r>
    </w:p>
    <w:p w14:paraId="13D23208">
      <w:pPr>
        <w:rPr>
          <w:rFonts w:hint="default"/>
        </w:rPr>
      </w:pPr>
      <w:r>
        <w:drawing>
          <wp:inline distT="0" distB="0" distL="114300" distR="114300">
            <wp:extent cx="4199255" cy="2927350"/>
            <wp:effectExtent l="0" t="0" r="17145" b="19050"/>
            <wp:docPr id="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9255" cy="292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46EC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Style w:val="10"/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(Executed only in fsQCA mode)</w:t>
      </w:r>
    </w:p>
    <w:p w14:paraId="65A36BC5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Following the direct calibration method proposed by Ragin and Fiss (2008), users set three thresholds:</w:t>
      </w:r>
    </w:p>
    <w:p w14:paraId="070A2F94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Full membership (default: 0.95)</w:t>
      </w:r>
    </w:p>
    <w:p w14:paraId="142CEB51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firstLine="0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Crossover point (default: 0.50)</w:t>
      </w:r>
    </w:p>
    <w:p w14:paraId="7759DDF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420" w:leftChars="0" w:firstLine="0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Full non-membership (default: 0.05)</w:t>
      </w:r>
    </w:p>
    <w:p w14:paraId="0BA5E0CB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These thresholds convert raw scores into theoretically meaningful membership values. A heatmap of membership scores is also generated.</w:t>
      </w:r>
    </w:p>
    <w:p w14:paraId="315780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</w:p>
    <w:p w14:paraId="78E5C30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Style w:val="8"/>
          <w:rFonts w:hint="default" w:ascii="Times New Roman Bold" w:hAnsi="Times New Roman Bold" w:cs="Times New Roman Bold"/>
          <w:b/>
          <w:bCs/>
          <w:i w:val="0"/>
          <w:iCs w:val="0"/>
          <w:sz w:val="21"/>
          <w:szCs w:val="21"/>
        </w:rPr>
      </w:pPr>
      <w:r>
        <w:rPr>
          <w:rStyle w:val="8"/>
          <w:rFonts w:hint="default" w:ascii="Times New Roman Bold" w:hAnsi="Times New Roman Bold" w:cs="Times New Roman Bold"/>
          <w:b/>
          <w:bCs/>
          <w:i w:val="0"/>
          <w:iCs w:val="0"/>
          <w:sz w:val="21"/>
          <w:szCs w:val="21"/>
        </w:rPr>
        <w:t>Stage 5: Necessity Analysis</w:t>
      </w:r>
    </w:p>
    <w:p w14:paraId="20CB5D82">
      <w:pPr>
        <w:rPr>
          <w:rFonts w:hint="default"/>
        </w:rPr>
      </w:pPr>
      <w:r>
        <w:drawing>
          <wp:inline distT="0" distB="0" distL="114300" distR="114300">
            <wp:extent cx="4305935" cy="1700530"/>
            <wp:effectExtent l="0" t="0" r="12065" b="1270"/>
            <wp:docPr id="1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3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432B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The tool calculates the consistency and coverage of each condition (and its negation) with respect to the outcome variable.</w:t>
      </w:r>
    </w:p>
    <w:p w14:paraId="4845606D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Conditions meeting the default necessity threshold (consistency ≥ 0.90) are flagged as necessary.</w:t>
      </w:r>
    </w:p>
    <w:p w14:paraId="4E7A72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</w:p>
    <w:p w14:paraId="2C214D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Style w:val="8"/>
          <w:rFonts w:hint="default" w:ascii="Times New Roman Bold" w:hAnsi="Times New Roman Bold" w:cs="Times New Roman Bold"/>
          <w:b/>
          <w:bCs/>
          <w:i w:val="0"/>
          <w:iCs w:val="0"/>
          <w:sz w:val="21"/>
          <w:szCs w:val="21"/>
        </w:rPr>
      </w:pPr>
      <w:r>
        <w:rPr>
          <w:rStyle w:val="8"/>
          <w:rFonts w:hint="default" w:ascii="Times New Roman Bold" w:hAnsi="Times New Roman Bold" w:cs="Times New Roman Bold"/>
          <w:b/>
          <w:bCs/>
          <w:i w:val="0"/>
          <w:iCs w:val="0"/>
          <w:sz w:val="21"/>
          <w:szCs w:val="21"/>
        </w:rPr>
        <w:t>Stage 6: Sufficiency Analysis (Configurational Analysis)</w:t>
      </w:r>
    </w:p>
    <w:p w14:paraId="60DBBF5D">
      <w:pPr>
        <w:rPr>
          <w:rFonts w:hint="default"/>
        </w:rPr>
      </w:pPr>
      <w:r>
        <w:drawing>
          <wp:inline distT="0" distB="0" distL="114300" distR="114300">
            <wp:extent cx="4320540" cy="1964055"/>
            <wp:effectExtent l="0" t="0" r="22860" b="17145"/>
            <wp:docPr id="1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96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B2D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This stage consists of three steps:</w:t>
      </w:r>
    </w:p>
    <w:p w14:paraId="548EEA63">
      <w:pPr>
        <w:pStyle w:val="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210" w:leftChars="0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Style w:val="8"/>
          <w:rFonts w:hint="default" w:ascii="Times New Roman Bold" w:hAnsi="Times New Roman Bold" w:eastAsia="Segoe UI" w:cs="Times New Roman Bold"/>
          <w:b/>
          <w:bCs w:val="0"/>
          <w:i w:val="0"/>
          <w:iCs w:val="0"/>
          <w:sz w:val="21"/>
          <w:szCs w:val="21"/>
        </w:rPr>
        <w:t>Truth Table Construction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br w:type="textWrapping"/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Based on user-specified thresholds for: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/>
        </w:rPr>
        <w:t xml:space="preserve"> 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Frequency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/>
        </w:rPr>
        <w:t>;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Consistency (default: 0.80)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/>
        </w:rPr>
        <w:t>;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PRI (Proportional Reduction in Inconsistency, default: 0.75)</w:t>
      </w:r>
    </w:p>
    <w:p w14:paraId="7A524356">
      <w:pPr>
        <w:pStyle w:val="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210" w:leftChars="0" w:firstLine="0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Style w:val="8"/>
          <w:rFonts w:hint="default" w:ascii="Times New Roman Bold" w:hAnsi="Times New Roman Bold" w:eastAsia="Segoe UI" w:cs="Times New Roman Bold"/>
          <w:b/>
          <w:bCs w:val="0"/>
          <w:i w:val="0"/>
          <w:iCs w:val="0"/>
          <w:sz w:val="21"/>
          <w:szCs w:val="21"/>
        </w:rPr>
        <w:t>Boolean Minimization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br w:type="textWrapping"/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The tool derives: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/>
        </w:rPr>
        <w:t xml:space="preserve"> 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Complex solutions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/>
        </w:rPr>
        <w:t xml:space="preserve">; 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Parsimonious solutions</w:t>
      </w:r>
    </w:p>
    <w:p w14:paraId="6C46FDF4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It adopts the standard notation syst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sz w:val="21"/>
          <w:szCs w:val="21"/>
        </w:rPr>
        <w:t xml:space="preserve">em of Ragin and Fiss (2008), using symbols such as 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sz w:val="21"/>
          <w:szCs w:val="21"/>
        </w:rPr>
        <w:t>●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sz w:val="21"/>
          <w:szCs w:val="21"/>
          <w:lang w:val="en-US"/>
        </w:rPr>
        <w:t xml:space="preserve"> 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sz w:val="21"/>
          <w:szCs w:val="21"/>
        </w:rPr>
        <w:t>(presence)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sz w:val="21"/>
          <w:szCs w:val="21"/>
        </w:rPr>
        <w:t xml:space="preserve"> and </w:t>
      </w:r>
      <w:r>
        <w:rPr>
          <w:rStyle w:val="8"/>
          <w:rFonts w:hint="default" w:ascii="Times New Roman" w:hAnsi="Times New Roman" w:eastAsia="Segoe UI" w:cs="Times New Roman"/>
          <w:b w:val="0"/>
          <w:bCs w:val="0"/>
          <w:i w:val="0"/>
          <w:iCs w:val="0"/>
          <w:sz w:val="21"/>
          <w:szCs w:val="21"/>
        </w:rPr>
        <w:t>⊗ (absence)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sz w:val="21"/>
          <w:szCs w:val="21"/>
        </w:rPr>
        <w:t xml:space="preserve"> to dis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tinguish core and peripheral conditions.</w:t>
      </w:r>
    </w:p>
    <w:p w14:paraId="2AEE750D">
      <w:pPr>
        <w:pStyle w:val="5"/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210" w:leftChars="0" w:firstLine="0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Style w:val="8"/>
          <w:rFonts w:hint="default" w:ascii="Times New Roman Bold" w:hAnsi="Times New Roman Bold" w:eastAsia="Segoe UI" w:cs="Times New Roman Bold"/>
          <w:b/>
          <w:bCs w:val="0"/>
          <w:i w:val="0"/>
          <w:iCs w:val="0"/>
          <w:sz w:val="21"/>
          <w:szCs w:val="21"/>
        </w:rPr>
        <w:t>Interpretation Support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br w:type="textWrapping"/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The tool employs LLMs to generate academic-style labels for each configuration path and produces a consistency–coverage scatter plot.</w:t>
      </w:r>
    </w:p>
    <w:p w14:paraId="23BAE9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</w:p>
    <w:p w14:paraId="1FA686D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Bold" w:hAnsi="Times New Roman Bold" w:cs="Times New Roman Bold"/>
          <w:b/>
          <w:bCs/>
          <w:sz w:val="21"/>
          <w:szCs w:val="21"/>
        </w:rPr>
      </w:pPr>
      <w:r>
        <w:rPr>
          <w:rStyle w:val="8"/>
          <w:rFonts w:hint="default" w:ascii="Times New Roman Bold" w:hAnsi="Times New Roman Bold" w:cs="Times New Roman Bold"/>
          <w:b/>
          <w:bCs/>
          <w:i w:val="0"/>
          <w:iCs w:val="0"/>
          <w:sz w:val="21"/>
          <w:szCs w:val="21"/>
        </w:rPr>
        <w:t>Stage 7: Results Export</w:t>
      </w:r>
    </w:p>
    <w:p w14:paraId="79187CE7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All intermediate results and outputs are compiled and made downloadable, including:</w:t>
      </w:r>
    </w:p>
    <w:p w14:paraId="5F285B5B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0" w:leftChars="0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CSV files</w:t>
      </w:r>
    </w:p>
    <w:p w14:paraId="7C3D8235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210" w:leftChars="0" w:firstLine="0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Visual figures</w:t>
      </w:r>
    </w:p>
    <w:p w14:paraId="083045E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</w:p>
    <w:p w14:paraId="07E17EF7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  <w:t>Outputs</w:t>
      </w:r>
    </w:p>
    <w:p w14:paraId="0CDBCC4E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The tool generates the following standardized outputs:</w:t>
      </w:r>
    </w:p>
    <w:p w14:paraId="5656BA5F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hanging="425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 xml:space="preserve">Raw 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/>
        </w:rPr>
        <w:t>text-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scoring table</w:t>
      </w:r>
    </w:p>
    <w:p w14:paraId="39E0C65E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hanging="425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Calibrated membership scores table</w:t>
      </w:r>
    </w:p>
    <w:p w14:paraId="59163A0D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hanging="425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Necessity analysis results</w:t>
      </w:r>
    </w:p>
    <w:p w14:paraId="7EEABBE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hanging="425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Truth table</w:t>
      </w:r>
    </w:p>
    <w:p w14:paraId="33671D9E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hanging="425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Configurational solution table (including consistency, raw coverage, unique coverage, and overall solution metrics)</w:t>
      </w:r>
    </w:p>
    <w:p w14:paraId="2B70B46A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5" w:leftChars="0" w:hanging="425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 xml:space="preserve">Visualizations: </w:t>
      </w:r>
    </w:p>
    <w:p w14:paraId="4B0A9871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ind w:left="840" w:left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Score distribution plot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/>
        </w:rPr>
        <w:t xml:space="preserve">; 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Membership heatmap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  <w:lang w:val="en-US"/>
        </w:rPr>
        <w:t xml:space="preserve">; 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Consistency–coverage scatter plot</w:t>
      </w:r>
    </w:p>
    <w:p w14:paraId="580BB86B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</w:p>
    <w:p w14:paraId="17F8695C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</w:p>
    <w:p w14:paraId="264173DD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</w:p>
    <w:p w14:paraId="283B3F0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</w:p>
    <w:p w14:paraId="06EFD56E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</w:p>
    <w:p w14:paraId="529F3873">
      <w:pPr>
        <w:keepNext w:val="0"/>
        <w:keepLines w:val="0"/>
        <w:pageBreakBefore w:val="0"/>
        <w:widowControl/>
        <w:numPr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40" w:lineRule="auto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</w:p>
    <w:p w14:paraId="597009C6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  <w:t>Core Dependencies</w:t>
      </w:r>
    </w:p>
    <w:tbl>
      <w:tblPr>
        <w:tblStyle w:val="6"/>
        <w:tblpPr w:leftFromText="180" w:rightFromText="180" w:vertAnchor="text" w:horzAnchor="page" w:tblpX="1888" w:tblpY="312"/>
        <w:tblOverlap w:val="never"/>
        <w:tblW w:w="657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3"/>
        <w:gridCol w:w="4081"/>
      </w:tblGrid>
      <w:tr w14:paraId="58FB6959">
        <w:trPr>
          <w:trHeight w:val="351" w:hRule="atLeast"/>
        </w:trPr>
        <w:tc>
          <w:tcPr>
            <w:tcW w:w="2493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5F5F5"/>
            <w:vAlign w:val="center"/>
          </w:tcPr>
          <w:p w14:paraId="42A34E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Bold" w:hAnsi="Times New Roman Bold" w:eastAsia="Times New Roman Regular" w:cs="Times New Roman Bold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Bold" w:hAnsi="Times New Roman Bold" w:eastAsia="Times New Roman Regular" w:cs="Times New Roman Bold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Package</w:t>
            </w:r>
          </w:p>
        </w:tc>
        <w:tc>
          <w:tcPr>
            <w:tcW w:w="4081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F5F5F5"/>
            <w:vAlign w:val="center"/>
          </w:tcPr>
          <w:p w14:paraId="7C622B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 Bold" w:hAnsi="Times New Roman Bold" w:eastAsia="Times New Roman Regular" w:cs="Times New Roman Bold"/>
                <w:b/>
                <w:bCs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 Bold" w:hAnsi="Times New Roman Bold" w:eastAsia="Times New Roman Regular" w:cs="Times New Roman Bold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Function</w:t>
            </w:r>
          </w:p>
        </w:tc>
      </w:tr>
      <w:tr w14:paraId="08F1AA9B">
        <w:trPr>
          <w:trHeight w:val="494" w:hRule="atLeast"/>
        </w:trPr>
        <w:tc>
          <w:tcPr>
            <w:tcW w:w="2493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auto"/>
            <w:vAlign w:val="center"/>
          </w:tcPr>
          <w:p w14:paraId="699182A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streamlit</w:t>
            </w:r>
          </w:p>
        </w:tc>
        <w:tc>
          <w:tcPr>
            <w:tcW w:w="4081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auto"/>
            <w:vAlign w:val="center"/>
          </w:tcPr>
          <w:p w14:paraId="29A22C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Web-based interactive interface</w:t>
            </w:r>
          </w:p>
        </w:tc>
      </w:tr>
      <w:tr w14:paraId="103BBB69">
        <w:trPr>
          <w:trHeight w:val="439" w:hRule="atLeast"/>
        </w:trPr>
        <w:tc>
          <w:tcPr>
            <w:tcW w:w="2493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auto"/>
            <w:vAlign w:val="center"/>
          </w:tcPr>
          <w:p w14:paraId="3EE5199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pandas</w:t>
            </w:r>
          </w:p>
        </w:tc>
        <w:tc>
          <w:tcPr>
            <w:tcW w:w="4081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auto"/>
            <w:vAlign w:val="center"/>
          </w:tcPr>
          <w:p w14:paraId="591966D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Data processing and tabular operations</w:t>
            </w:r>
          </w:p>
        </w:tc>
      </w:tr>
      <w:tr w14:paraId="7009B4A9">
        <w:trPr>
          <w:trHeight w:val="489" w:hRule="atLeast"/>
        </w:trPr>
        <w:tc>
          <w:tcPr>
            <w:tcW w:w="2493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auto"/>
            <w:vAlign w:val="center"/>
          </w:tcPr>
          <w:p w14:paraId="2A1541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numpy</w:t>
            </w:r>
          </w:p>
        </w:tc>
        <w:tc>
          <w:tcPr>
            <w:tcW w:w="4081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auto"/>
            <w:vAlign w:val="center"/>
          </w:tcPr>
          <w:p w14:paraId="27EC77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Numerical computation (consistency/coverage calculations)</w:t>
            </w:r>
          </w:p>
        </w:tc>
      </w:tr>
      <w:tr w14:paraId="091A00E3">
        <w:trPr>
          <w:trHeight w:val="444" w:hRule="atLeast"/>
        </w:trPr>
        <w:tc>
          <w:tcPr>
            <w:tcW w:w="2493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auto"/>
            <w:vAlign w:val="center"/>
          </w:tcPr>
          <w:p w14:paraId="7F5DCA4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matplotlib / seaborn</w:t>
            </w:r>
          </w:p>
        </w:tc>
        <w:tc>
          <w:tcPr>
            <w:tcW w:w="4081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auto"/>
            <w:vAlign w:val="center"/>
          </w:tcPr>
          <w:p w14:paraId="00384E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Visualization</w:t>
            </w:r>
          </w:p>
        </w:tc>
      </w:tr>
      <w:tr w14:paraId="7C14E338">
        <w:trPr>
          <w:trHeight w:val="370" w:hRule="atLeast"/>
        </w:trPr>
        <w:tc>
          <w:tcPr>
            <w:tcW w:w="2493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auto"/>
            <w:vAlign w:val="center"/>
          </w:tcPr>
          <w:p w14:paraId="6C59F63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requests</w:t>
            </w:r>
          </w:p>
        </w:tc>
        <w:tc>
          <w:tcPr>
            <w:tcW w:w="4081" w:type="dxa"/>
            <w:tcBorders>
              <w:top w:val="single" w:color="E6E6E6" w:sz="8" w:space="0"/>
              <w:left w:val="single" w:color="E6E6E6" w:sz="8" w:space="0"/>
              <w:bottom w:val="single" w:color="E6E6E6" w:sz="8" w:space="0"/>
              <w:right w:val="single" w:color="E6E6E6" w:sz="8" w:space="0"/>
            </w:tcBorders>
            <w:shd w:val="clear" w:color="auto" w:fill="auto"/>
            <w:vAlign w:val="center"/>
          </w:tcPr>
          <w:p w14:paraId="4C0B06F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sz w:val="21"/>
                <w:szCs w:val="21"/>
                <w:u w:val="none"/>
              </w:rPr>
            </w:pPr>
            <w:r>
              <w:rPr>
                <w:rFonts w:hint="default" w:ascii="Times New Roman" w:hAnsi="Times New Roman" w:eastAsia="Times New Roman Regular" w:cs="Times New Roman"/>
                <w:b w:val="0"/>
                <w:bCs w:val="0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API calls to LLM services</w:t>
            </w:r>
          </w:p>
        </w:tc>
      </w:tr>
    </w:tbl>
    <w:p w14:paraId="536BB13D">
      <w:pPr>
        <w:numPr>
          <w:numId w:val="0"/>
        </w:numPr>
        <w:ind w:left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</w:p>
    <w:p w14:paraId="33D0549B">
      <w:pPr>
        <w:numPr>
          <w:numId w:val="0"/>
        </w:numPr>
        <w:ind w:left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</w:p>
    <w:p w14:paraId="494813CD">
      <w:pPr>
        <w:numPr>
          <w:numId w:val="0"/>
        </w:numPr>
        <w:ind w:left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</w:p>
    <w:p w14:paraId="1B93A319">
      <w:pPr>
        <w:numPr>
          <w:numId w:val="0"/>
        </w:numPr>
        <w:ind w:left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</w:p>
    <w:p w14:paraId="7D134D19">
      <w:pPr>
        <w:numPr>
          <w:numId w:val="0"/>
        </w:numPr>
        <w:ind w:left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</w:p>
    <w:p w14:paraId="219B0216">
      <w:pPr>
        <w:numPr>
          <w:numId w:val="0"/>
        </w:numPr>
        <w:ind w:left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</w:p>
    <w:p w14:paraId="0D5A2D45">
      <w:pPr>
        <w:numPr>
          <w:numId w:val="0"/>
        </w:numPr>
        <w:ind w:left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</w:p>
    <w:p w14:paraId="37500860">
      <w:pPr>
        <w:numPr>
          <w:numId w:val="0"/>
        </w:numPr>
        <w:ind w:left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</w:p>
    <w:p w14:paraId="58E4ED59">
      <w:pPr>
        <w:numPr>
          <w:numId w:val="0"/>
        </w:numPr>
        <w:ind w:left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</w:p>
    <w:p w14:paraId="190FDCC5">
      <w:pPr>
        <w:numPr>
          <w:numId w:val="0"/>
        </w:numPr>
        <w:ind w:left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</w:p>
    <w:p w14:paraId="2B3D3A30">
      <w:pPr>
        <w:numPr>
          <w:numId w:val="0"/>
        </w:numPr>
        <w:ind w:left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</w:p>
    <w:p w14:paraId="37756AAC">
      <w:pPr>
        <w:numPr>
          <w:ilvl w:val="0"/>
          <w:numId w:val="1"/>
        </w:numPr>
        <w:ind w:left="0" w:leftChars="0" w:firstLine="0" w:firstLineChars="0"/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</w:pPr>
      <w:r>
        <w:rPr>
          <w:rFonts w:hint="default" w:ascii="Times New Roman Bold" w:hAnsi="Times New Roman Bold" w:cs="Times New Roman Bold"/>
          <w:b/>
          <w:bCs/>
          <w:sz w:val="24"/>
          <w:szCs w:val="32"/>
          <w:lang w:val="en-US" w:eastAsia="zh-CN"/>
        </w:rPr>
        <w:t>References and Algorithmic Foundations</w:t>
      </w:r>
    </w:p>
    <w:p w14:paraId="72B32003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</w:pPr>
      <w:r>
        <w:rPr>
          <w:rStyle w:val="8"/>
          <w:rFonts w:hint="default" w:ascii="Times New Roman Bold" w:hAnsi="Times New Roman Bold" w:eastAsia="Segoe UI" w:cs="Times New Roman Bold"/>
          <w:b/>
          <w:bCs w:val="0"/>
          <w:i w:val="0"/>
          <w:iCs w:val="0"/>
          <w:sz w:val="21"/>
          <w:szCs w:val="21"/>
        </w:rPr>
        <w:t>Calibration Method</w:t>
      </w:r>
    </w:p>
    <w:p w14:paraId="5B2D4FB9">
      <w:pPr>
        <w:pStyle w:val="5"/>
        <w:keepNext w:val="0"/>
        <w:keepLines w:val="0"/>
        <w:pageBreakBefore w:val="0"/>
        <w:widowControl/>
        <w:numPr>
          <w:ilvl w:val="0"/>
          <w:numId w:val="1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hanging="425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 xml:space="preserve">Ragin, C. C., &amp; Fiss, P. C. (2008). </w:t>
      </w:r>
      <w:r>
        <w:rPr>
          <w:rStyle w:val="10"/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Net Effects Analysis versus Configurational Analysis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 xml:space="preserve">. In </w:t>
      </w:r>
      <w:r>
        <w:rPr>
          <w:rStyle w:val="10"/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Redesigning Social Inquiry: Fuzzy Sets and Beyond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 xml:space="preserve"> (pp. 190–212).</w:t>
      </w:r>
    </w:p>
    <w:p w14:paraId="74F25E22">
      <w:pPr>
        <w:pStyle w:val="5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</w:pPr>
      <w:r>
        <w:rPr>
          <w:rStyle w:val="8"/>
          <w:rFonts w:hint="default" w:ascii="Times New Roman Bold" w:hAnsi="Times New Roman Bold" w:eastAsia="Segoe UI" w:cs="Times New Roman Bold"/>
          <w:b/>
          <w:bCs w:val="0"/>
          <w:i w:val="0"/>
          <w:iCs w:val="0"/>
          <w:sz w:val="21"/>
          <w:szCs w:val="21"/>
        </w:rPr>
        <w:t>Truth Table and Boolean Minimization</w:t>
      </w:r>
    </w:p>
    <w:p w14:paraId="1A793EAA">
      <w:pPr>
        <w:pStyle w:val="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Dușa, A. (2019). QCA with R: A Comprehensive Resource. Springer.</w:t>
      </w:r>
    </w:p>
    <w:p w14:paraId="00880546">
      <w:pPr>
        <w:pStyle w:val="5"/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right="0" w:rightChars="0" w:hanging="425" w:firstLineChars="0"/>
        <w:textAlignment w:val="auto"/>
        <w:rPr>
          <w:rFonts w:hint="default" w:ascii="Times New Roman Regular" w:hAnsi="Times New Roman Regular" w:cs="Times New Roman Regular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Thiem, A., &amp; Dușa, A. (2013). Qualitative Comparative Analysis with R: A User's Guide. Springer.</w:t>
      </w:r>
    </w:p>
    <w:p w14:paraId="19CA219A">
      <w:pPr>
        <w:pStyle w:val="5"/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right="0" w:rightChars="0"/>
        <w:jc w:val="left"/>
        <w:textAlignment w:val="auto"/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</w:pPr>
      <w:r>
        <w:rPr>
          <w:rStyle w:val="8"/>
          <w:rFonts w:hint="default" w:ascii="Times New Roman Bold" w:hAnsi="Times New Roman Bold" w:eastAsia="Segoe UI" w:cs="Times New Roman Bold"/>
          <w:b/>
          <w:bCs w:val="0"/>
          <w:i w:val="0"/>
          <w:iCs w:val="0"/>
          <w:sz w:val="21"/>
          <w:szCs w:val="21"/>
        </w:rPr>
        <w:t>Threshold Selection Guidelines</w:t>
      </w:r>
    </w:p>
    <w:p w14:paraId="13030B2C">
      <w:pPr>
        <w:pStyle w:val="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hanging="425" w:firstLineChars="0"/>
        <w:jc w:val="left"/>
        <w:textAlignment w:val="auto"/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</w:pP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 xml:space="preserve">Schneider, C. Q., &amp; Wagemann, C. (2012). </w:t>
      </w:r>
      <w:r>
        <w:rPr>
          <w:rStyle w:val="10"/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Set-Theoretic Methods for the Social Sciences</w:t>
      </w:r>
      <w:r>
        <w:rPr>
          <w:rFonts w:hint="default" w:ascii="Times New Roman Regular" w:hAnsi="Times New Roman Regular" w:eastAsia="Segoe UI" w:cs="Times New Roman Regular"/>
          <w:i w:val="0"/>
          <w:iCs w:val="0"/>
          <w:sz w:val="21"/>
          <w:szCs w:val="21"/>
        </w:rPr>
        <w:t>. Cambridge University Press.</w:t>
      </w:r>
    </w:p>
    <w:p w14:paraId="23F7ADA0">
      <w:pPr>
        <w:pStyle w:val="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陶克涛, 张术丹, &amp; 赵云辉. (2021). 什么决定了政府公共卫生治理绩效？——基于QCA方法的联动效应研究. 管理世界, 37(5), 128–136.</w:t>
      </w:r>
    </w:p>
    <w:p w14:paraId="31F39A21">
      <w:pPr>
        <w:pStyle w:val="5"/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25" w:leftChars="0" w:hanging="425" w:firstLineChars="0"/>
        <w:jc w:val="left"/>
        <w:textAlignment w:val="auto"/>
        <w:rPr>
          <w:rFonts w:hint="eastAsia" w:ascii="宋体" w:hAnsi="宋体" w:eastAsia="宋体" w:cs="宋体"/>
          <w:i w:val="0"/>
          <w:iCs w:val="0"/>
          <w:sz w:val="21"/>
          <w:szCs w:val="21"/>
        </w:rPr>
      </w:pPr>
      <w:r>
        <w:rPr>
          <w:rFonts w:hint="eastAsia" w:ascii="宋体" w:hAnsi="宋体" w:eastAsia="宋体" w:cs="宋体"/>
          <w:i w:val="0"/>
          <w:iCs w:val="0"/>
          <w:sz w:val="21"/>
          <w:szCs w:val="21"/>
        </w:rPr>
        <w:t>杜运周, &amp; 贾良定. (2017). 组态视角与定性比较分析（QCA）：管理学研究的一条新道路. 管理世界, 33(6), 155–167.</w:t>
      </w:r>
    </w:p>
    <w:p w14:paraId="2AF482AD">
      <w:pPr>
        <w:numPr>
          <w:numId w:val="0"/>
        </w:numPr>
        <w:ind w:leftChars="0"/>
        <w:rPr>
          <w:rStyle w:val="8"/>
          <w:rFonts w:hint="default" w:ascii="Times New Roman Regular" w:hAnsi="Times New Roman Regular" w:cs="Times New Roman Regular"/>
          <w:i w:val="0"/>
          <w:iCs w:val="0"/>
          <w:sz w:val="21"/>
          <w:szCs w:val="21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D2767D"/>
    <w:multiLevelType w:val="singleLevel"/>
    <w:tmpl w:val="9BD2767D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1">
    <w:nsid w:val="AFFE10B5"/>
    <w:multiLevelType w:val="singleLevel"/>
    <w:tmpl w:val="AFFE10B5"/>
    <w:lvl w:ilvl="0" w:tentative="0">
      <w:start w:val="1"/>
      <w:numFmt w:val="decimal"/>
      <w:suff w:val="space"/>
      <w:lvlText w:val="(%1)"/>
      <w:lvlJc w:val="left"/>
    </w:lvl>
  </w:abstractNum>
  <w:abstractNum w:abstractNumId="2">
    <w:nsid w:val="B6B94A69"/>
    <w:multiLevelType w:val="singleLevel"/>
    <w:tmpl w:val="B6B94A69"/>
    <w:lvl w:ilvl="0" w:tentative="0">
      <w:start w:val="1"/>
      <w:numFmt w:val="decimal"/>
      <w:suff w:val="space"/>
      <w:lvlText w:val="(%1)"/>
      <w:lvlJc w:val="left"/>
    </w:lvl>
  </w:abstractNum>
  <w:abstractNum w:abstractNumId="3">
    <w:nsid w:val="BBDEFFC8"/>
    <w:multiLevelType w:val="singleLevel"/>
    <w:tmpl w:val="BBDEFFC8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abstractNum w:abstractNumId="4">
    <w:nsid w:val="BDBF772F"/>
    <w:multiLevelType w:val="singleLevel"/>
    <w:tmpl w:val="BDBF772F"/>
    <w:lvl w:ilvl="0" w:tentative="0">
      <w:start w:val="1"/>
      <w:numFmt w:val="decimal"/>
      <w:suff w:val="space"/>
      <w:lvlText w:val="(%1)"/>
      <w:lvlJc w:val="left"/>
      <w:pPr>
        <w:ind w:left="60"/>
      </w:pPr>
    </w:lvl>
  </w:abstractNum>
  <w:abstractNum w:abstractNumId="5">
    <w:nsid w:val="BF72501D"/>
    <w:multiLevelType w:val="multilevel"/>
    <w:tmpl w:val="BF72501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57CFDFD"/>
    <w:multiLevelType w:val="multilevel"/>
    <w:tmpl w:val="F57CFDF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abstractNum w:abstractNumId="7">
    <w:nsid w:val="F7BE6946"/>
    <w:multiLevelType w:val="singleLevel"/>
    <w:tmpl w:val="F7BE6946"/>
    <w:lvl w:ilvl="0" w:tentative="0">
      <w:start w:val="1"/>
      <w:numFmt w:val="decimal"/>
      <w:suff w:val="space"/>
      <w:lvlText w:val="(%1)"/>
      <w:lvlJc w:val="left"/>
      <w:pPr>
        <w:ind w:left="-510"/>
      </w:pPr>
    </w:lvl>
  </w:abstractNum>
  <w:abstractNum w:abstractNumId="8">
    <w:nsid w:val="F7FE6542"/>
    <w:multiLevelType w:val="singleLevel"/>
    <w:tmpl w:val="F7FE6542"/>
    <w:lvl w:ilvl="0" w:tentative="0">
      <w:start w:val="1"/>
      <w:numFmt w:val="decimal"/>
      <w:lvlText w:val="(%1)"/>
      <w:lvlJc w:val="left"/>
      <w:pPr>
        <w:ind w:left="845" w:hanging="425"/>
      </w:pPr>
      <w:rPr>
        <w:rFonts w:hint="default"/>
      </w:rPr>
    </w:lvl>
  </w:abstractNum>
  <w:abstractNum w:abstractNumId="9">
    <w:nsid w:val="FFC5CA73"/>
    <w:multiLevelType w:val="singleLevel"/>
    <w:tmpl w:val="FFC5CA73"/>
    <w:lvl w:ilvl="0" w:tentative="0">
      <w:start w:val="1"/>
      <w:numFmt w:val="decimal"/>
      <w:suff w:val="space"/>
      <w:lvlText w:val="(%1)"/>
      <w:lvlJc w:val="left"/>
    </w:lvl>
  </w:abstractNum>
  <w:abstractNum w:abstractNumId="10">
    <w:nsid w:val="FFFE5ECC"/>
    <w:multiLevelType w:val="singleLevel"/>
    <w:tmpl w:val="FFFE5ECC"/>
    <w:lvl w:ilvl="0" w:tentative="0">
      <w:start w:val="1"/>
      <w:numFmt w:val="decimal"/>
      <w:suff w:val="space"/>
      <w:lvlText w:val="(%1)"/>
      <w:lvlJc w:val="left"/>
      <w:pPr>
        <w:ind w:left="-150"/>
      </w:pPr>
    </w:lvl>
  </w:abstractNum>
  <w:abstractNum w:abstractNumId="11">
    <w:nsid w:val="7D5E79A7"/>
    <w:multiLevelType w:val="singleLevel"/>
    <w:tmpl w:val="7D5E79A7"/>
    <w:lvl w:ilvl="0" w:tentative="0">
      <w:start w:val="1"/>
      <w:numFmt w:val="decimal"/>
      <w:lvlText w:val="[%1]"/>
      <w:lvlJc w:val="left"/>
      <w:pPr>
        <w:tabs>
          <w:tab w:val="left" w:pos="420"/>
        </w:tabs>
        <w:ind w:left="425" w:leftChars="0" w:hanging="425" w:firstLineChars="0"/>
      </w:pPr>
      <w:rPr>
        <w:rFonts w:hint="default"/>
      </w:rPr>
    </w:lvl>
  </w:abstractNum>
  <w:num w:numId="1">
    <w:abstractNumId w:val="6"/>
  </w:num>
  <w:num w:numId="2">
    <w:abstractNumId w:val="1"/>
  </w:num>
  <w:num w:numId="3">
    <w:abstractNumId w:val="2"/>
  </w:num>
  <w:num w:numId="4">
    <w:abstractNumId w:val="9"/>
  </w:num>
  <w:num w:numId="5">
    <w:abstractNumId w:val="5"/>
  </w:num>
  <w:num w:numId="6">
    <w:abstractNumId w:val="4"/>
  </w:num>
  <w:num w:numId="7">
    <w:abstractNumId w:val="7"/>
  </w:num>
  <w:num w:numId="8">
    <w:abstractNumId w:val="10"/>
  </w:num>
  <w:num w:numId="9">
    <w:abstractNumId w:val="8"/>
  </w:num>
  <w:num w:numId="10">
    <w:abstractNumId w:val="0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7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7749DC"/>
    <w:rsid w:val="777749DC"/>
    <w:rsid w:val="7BDF8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FollowedHyperlink"/>
    <w:basedOn w:val="7"/>
    <w:uiPriority w:val="0"/>
    <w:rPr>
      <w:color w:val="464FEB"/>
      <w:u w:val="none"/>
    </w:rPr>
  </w:style>
  <w:style w:type="character" w:styleId="10">
    <w:name w:val="Emphasis"/>
    <w:basedOn w:val="7"/>
    <w:qFormat/>
    <w:uiPriority w:val="0"/>
    <w:rPr>
      <w:i/>
    </w:rPr>
  </w:style>
  <w:style w:type="character" w:styleId="11">
    <w:name w:val="Hyperlink"/>
    <w:basedOn w:val="7"/>
    <w:uiPriority w:val="0"/>
    <w:rPr>
      <w:color w:val="464FEB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82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2026-05-26T15:10:00Z</dcterms:created>
  <dc:creator>Friedrich</dc:creator>
  <cp:lastModifiedBy>Friedrich</cp:lastModifiedBy>
  <dcterms:modified xsi:type="dcterms:W3CDTF">2026-05-27T02:14:18Z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A1DF2F3AEA6566845F47156A884342F8_41</vt:lpwstr>
  </property>
</Properties>
</file>