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AFE90">
      <w:pPr>
        <w:pStyle w:val="2"/>
        <w:keepNext w:val="0"/>
        <w:keepLines w:val="0"/>
        <w:widowControl/>
        <w:suppressLineNumbers w:val="0"/>
        <w:jc w:val="center"/>
        <w:rPr>
          <w:rFonts w:hint="default" w:ascii="Times New Roman Bold" w:hAnsi="Times New Roman Bold" w:cs="Times New Roman Bold" w:eastAsiaTheme="minorEastAsia"/>
          <w:b/>
          <w:bCs/>
          <w:sz w:val="28"/>
          <w:szCs w:val="28"/>
          <w:lang w:val="en-US" w:eastAsia="zh-CN"/>
        </w:rPr>
      </w:pPr>
      <w:r>
        <w:rPr>
          <w:rFonts w:hint="default" w:ascii="Times New Roman Bold" w:hAnsi="Times New Roman Bold" w:cs="Times New Roman Bold"/>
          <w:b/>
          <w:bCs/>
          <w:sz w:val="28"/>
          <w:szCs w:val="28"/>
          <w:lang w:val="en-US" w:eastAsia="zh-CN"/>
        </w:rPr>
        <w:t>Limitation</w:t>
      </w:r>
    </w:p>
    <w:p w14:paraId="1096350D">
      <w:pPr>
        <w:pStyle w:val="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This study has several limitations that should be acknowledged. First, the sample size is relatively small, comprising only 18 cases drawn from a single online complaint platform in Guangdong Province. While this scale is methodologically appropriate for fsQCA, it constrains the generalizability of findings beyond the specific regional and institutional context of Guangdong's electric bicycle governance. Future research should expand the sample across multiple provinces or platforms to test whether the i</w:t>
      </w:r>
      <w:bookmarkStart w:id="0" w:name="_GoBack"/>
      <w:bookmarkEnd w:id="0"/>
      <w:r>
        <w:rPr>
          <w:rFonts w:hint="default" w:ascii="Times New Roman" w:hAnsi="Times New Roman" w:cs="Times New Roman"/>
          <w:sz w:val="21"/>
          <w:szCs w:val="21"/>
        </w:rPr>
        <w:t>dentified configurational patterns hold more broadly.</w:t>
      </w:r>
    </w:p>
    <w:p w14:paraId="3822A59F">
      <w:pPr>
        <w:pStyle w:val="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Second, the operationalization of condition variables relies on AI-assisted coding of complaint texts. Although this approach enhances coding consistency, it introduces potential measurement error in capturing subtle rhetorical nuances — particularly in distinguishing collective from individual interest framing, or institutional from non-institutional claims. The absence of inter-rater reliability validation represents a methodological gap that warrants attention in future work.</w:t>
      </w:r>
    </w:p>
    <w:p w14:paraId="1D02353C">
      <w:pPr>
        <w:pStyle w:val="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Third, this study only produced complex and parsimonious solutions without a corresponding intermediate solution, which is generally considered the most theoretically defensible output in fsQCA. The absence of directional assumptions for counterfactual analysis limits our ability to distinguish core conditions from peripheral ones within each pathway.</w:t>
      </w:r>
    </w:p>
    <w:p w14:paraId="748D0F60">
      <w:pPr>
        <w:pStyle w:val="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Finally, the condition variables in this study were scored through AI-assisted coding, and the consistency of these scores across repeated evaluations has not been systematically validated. Since AI-generated ratings may vary across model versions, prompt formulations, or repeated runs, the calibrated fuzzy-set values could be sensitive to such variation. Future research should conduct robustness checks by comparing results across multiple independent coding runs or alternative prompt designs, and ideally implement an iterative testing protocol that refines scoring criteria until stable, reproducible outputs are achieved.</w:t>
      </w:r>
    </w:p>
    <w:p w14:paraId="0673E0E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Bold">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BE13C3"/>
    <w:rsid w:val="7BBE1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2026-05-27T02:10:00Z</dcterms:created>
  <dc:creator>Friedrich</dc:creator>
  <cp:lastModifiedBy>Friedrich</cp:lastModifiedBy>
  <dcterms:modified xsi:type="dcterms:W3CDTF">2026-05-27T02:12:23Z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F63B27858DA581240FE2156A64F85D83_41</vt:lpwstr>
  </property>
</Properties>
</file>