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Seleção de Resposta em Perguntas de Produtores Rurais: Um Estudo com BERTimbau sobre o Dataset MilkQA</w:t>
      </w:r>
    </w:p>
    <w:p>
      <w:pPr>
        <w:jc w:val="center"/>
      </w:pPr>
      <w:r>
        <w:rPr>
          <w:rFonts w:ascii="Times New Roman" w:hAnsi="Times New Roman"/>
          <w:sz w:val="24"/>
        </w:rPr>
        <w:t>[Nome do Autor 1], [Nome do Autor 2]</w:t>
      </w:r>
    </w:p>
    <w:p>
      <w:pPr>
        <w:spacing w:after="280"/>
        <w:jc w:val="center"/>
      </w:pPr>
      <w:r>
        <w:rPr>
          <w:rFonts w:ascii="Times New Roman" w:hAnsi="Times New Roman"/>
          <w:i/>
          <w:sz w:val="22"/>
        </w:rPr>
        <w:t>[Instituição / Curso — Processamento de Linguagem Natural]</w:t>
      </w:r>
    </w:p>
    <w:p>
      <w:pPr>
        <w:spacing w:before="120" w:after="120"/>
      </w:pPr>
      <w:r>
        <w:rPr>
          <w:rFonts w:ascii="Times New Roman" w:hAnsi="Times New Roman"/>
          <w:b/>
          <w:sz w:val="24"/>
        </w:rPr>
        <w:t>Resumo</w:t>
      </w:r>
    </w:p>
    <w:p>
      <w:pPr>
        <w:jc w:val="both"/>
      </w:pPr>
      <w:r>
        <w:rPr>
          <w:rFonts w:ascii="Times New Roman" w:hAnsi="Times New Roman"/>
          <w:i/>
          <w:color w:val="808080"/>
          <w:sz w:val="22"/>
        </w:rPr>
        <w:t>[A preencher — resumo cobrindo objetivo (selecionar a resposta correta entre 50 candidatas para perguntas reais de produtores rurais sobre pecuária leiteira), metodologia (BERTimbau congelado + MLP de classificação de pares, no estilo InferSent, treinado sobre o conjunto completo de 2.307 perguntas) e principal resultado (Accuracy@1 = 0,57 e MRR = 0,68 no conjunto de teste oficial, 28x acima do acaso e o dobro do baseline de similaridade de cosseno pura).]</w:t>
      </w:r>
    </w:p>
    <w:p>
      <w:pPr>
        <w:spacing w:before="200" w:after="120"/>
      </w:pPr>
      <w:r>
        <w:rPr>
          <w:rFonts w:ascii="Times New Roman" w:hAnsi="Times New Roman"/>
          <w:b/>
          <w:sz w:val="24"/>
        </w:rPr>
        <w:t>Abstract</w:t>
      </w:r>
    </w:p>
    <w:p>
      <w:pPr>
        <w:jc w:val="both"/>
      </w:pPr>
      <w:r>
        <w:rPr>
          <w:rFonts w:ascii="Times New Roman" w:hAnsi="Times New Roman"/>
          <w:i/>
          <w:color w:val="808080"/>
          <w:sz w:val="22"/>
        </w:rPr>
        <w:t>[To be completed — English version of the Resumo above.]</w:t>
      </w:r>
    </w:p>
    <w:p/>
    <w:p>
      <w:pPr>
        <w:sectPr>
          <w:pgSz w:w="11906" w:h="16838"/>
          <w:pgMar w:top="1417" w:right="992" w:bottom="1417" w:left="992" w:header="720" w:footer="720" w:gutter="0"/>
          <w:cols w:space="720"/>
          <w:docGrid w:linePitch="360"/>
        </w:sectPr>
      </w:pPr>
    </w:p>
    <w:p>
      <w:pPr>
        <w:spacing w:before="240" w:after="120"/>
      </w:pPr>
      <w:r>
        <w:rPr>
          <w:rFonts w:ascii="Times New Roman" w:hAnsi="Times New Roman"/>
          <w:b/>
          <w:sz w:val="24"/>
        </w:rPr>
        <w:t>1. Introdução</w:t>
      </w:r>
    </w:p>
    <w:p>
      <w:pPr>
        <w:jc w:val="both"/>
      </w:pPr>
      <w:r>
        <w:rPr>
          <w:rFonts w:ascii="Times New Roman" w:hAnsi="Times New Roman"/>
          <w:i/>
          <w:color w:val="808080"/>
          <w:sz w:val="22"/>
        </w:rPr>
        <w:t>[A preencher — contextualizar a dificuldade de sistemas de resposta automática em domínios técnicos rurais, onde perguntas são escritas por autores de níveis de literacia muito diferentes e respostas exigem conhecimento especializado. Motivação: serviços de atendimento ao produtor (como o da Embrapa) recebem grande volume de perguntas recorrentes que poderiam ser respondidas automaticamente a partir de uma base de respostas já elaboradas por especialistas.]</w:t>
      </w:r>
    </w:p>
    <w:p>
      <w:pPr>
        <w:spacing w:before="240" w:after="120"/>
      </w:pPr>
      <w:r>
        <w:rPr>
          <w:rFonts w:ascii="Times New Roman" w:hAnsi="Times New Roman"/>
          <w:b/>
          <w:sz w:val="24"/>
        </w:rPr>
        <w:t>2. Trabalhos Relacionados</w:t>
      </w:r>
    </w:p>
    <w:p>
      <w:pPr>
        <w:jc w:val="both"/>
      </w:pPr>
      <w:r>
        <w:rPr>
          <w:rFonts w:ascii="Times New Roman" w:hAnsi="Times New Roman"/>
          <w:i/>
          <w:color w:val="808080"/>
          <w:sz w:val="22"/>
        </w:rPr>
        <w:t>[A preencher — citar o artigo original do MilkQA (Amaral et al., 2018), literatura de Answer Selection/Community Question Answering, e trabalhos de classificação de texto curto que motivaram a escolha metodológica de features de par [q, a, |q-a|, q*a] (ex.: InferSent, Conneau et al., 2017).]</w:t>
      </w:r>
    </w:p>
    <w:p>
      <w:pPr>
        <w:spacing w:before="240" w:after="120"/>
      </w:pPr>
      <w:r>
        <w:rPr>
          <w:rFonts w:ascii="Times New Roman" w:hAnsi="Times New Roman"/>
          <w:b/>
          <w:sz w:val="24"/>
        </w:rPr>
        <w:t>3. Metodologia</w:t>
      </w:r>
    </w:p>
    <w:p>
      <w:pPr>
        <w:spacing w:before="160" w:after="120"/>
      </w:pPr>
      <w:r>
        <w:rPr>
          <w:rFonts w:ascii="Times New Roman" w:hAnsi="Times New Roman"/>
          <w:b/>
          <w:sz w:val="24"/>
        </w:rPr>
        <w:t>3.1. Base de Dados</w:t>
      </w:r>
    </w:p>
    <w:p>
      <w:pPr>
        <w:jc w:val="both"/>
      </w:pPr>
      <w:r>
        <w:rPr>
          <w:rFonts w:ascii="Times New Roman" w:hAnsi="Times New Roman"/>
          <w:sz w:val="24"/>
        </w:rPr>
        <w:t>Foi utilizado o MilkQA (Amaral et al., 2018), dataset público de perguntas e respostas do domínio de pecuária leiteira, coletado pelo serviço de atendimento ao produtor da Embrapa Gado de Leite entre 2003 e 2012 e publicado pelo NILC/USP. O dataset contém 2.657 pares de pergunta-resposta: as perguntas foram escritas por produtores rurais reais, com níveis de literacia heterogêneos, e as respostas foram elaboradas por especialistas da Embrapa. O dataset é distribuído em três partições oficiais — treino (2.307 perguntas), validação (50) e teste (300) —, cada uma associando uma pergunta a um documento de resposta correto (positive-doc-id) dentro de um conjunto de 50 documentos candidatos (candidates-ids), formato característico de tarefas de seleção de resposta (answer selection).</w:t>
      </w:r>
    </w:p>
    <w:p>
      <w:pPr>
        <w:jc w:val="both"/>
      </w:pPr>
      <w:r>
        <w:rPr>
          <w:rFonts w:ascii="Times New Roman" w:hAnsi="Times New Roman"/>
          <w:sz w:val="24"/>
        </w:rPr>
        <w:t>As perguntas têm em média 198 palavras (máximo de 682), com estrutura frequentemente narrativa e informal, característica de textos escritos por autores não especialistas descrevendo um problema prático antes de formular a pergunta propriamente dita.</w:t>
      </w:r>
    </w:p>
    <w:p>
      <w:pPr>
        <w:spacing w:before="160" w:after="120"/>
      </w:pPr>
      <w:r>
        <w:rPr>
          <w:rFonts w:ascii="Times New Roman" w:hAnsi="Times New Roman"/>
          <w:b/>
          <w:sz w:val="24"/>
        </w:rPr>
        <w:t>3.2. Extração de Características</w:t>
      </w:r>
    </w:p>
    <w:p>
      <w:pPr>
        <w:jc w:val="both"/>
      </w:pPr>
      <w:r>
        <w:rPr>
          <w:rFonts w:ascii="Times New Roman" w:hAnsi="Times New Roman"/>
          <w:sz w:val="24"/>
        </w:rPr>
        <w:t>Cada pergunta e cada documento de resposta do corpus foram processados pelo BERTimbau (neuralmind/bert-base-portuguese-cased), mantido congelado, gerando embeddings de 768 dimensões via mean pooling sobre a última camada oculta, ponderado pela máscara de atenção. Os textos foram truncados em 256 tokens por restrição de custo computacional em ambiente sem GPU dedicada. Os embeddings foram calculados uma única vez para todo o corpus (2.657 documentos) e todas as perguntas (2.657), e persistidos em disco como dois dicionários indexados por identificador — desacoplando a extração de características, computacionalmente mais custosa (aproximadamente 23 minutos em CPU para os 5.314 textos), do treinamento do classificador, executado repetidamente durante a busca de hiperparâmetros.</w:t>
      </w:r>
    </w:p>
    <w:p>
      <w:pPr>
        <w:spacing w:before="160" w:after="120"/>
      </w:pPr>
      <w:r>
        <w:rPr>
          <w:rFonts w:ascii="Times New Roman" w:hAnsi="Times New Roman"/>
          <w:b/>
          <w:sz w:val="24"/>
        </w:rPr>
        <w:t>3.3. Modelo de Classificação de Pares</w:t>
      </w:r>
    </w:p>
    <w:p>
      <w:pPr>
        <w:jc w:val="both"/>
      </w:pPr>
      <w:r>
        <w:rPr>
          <w:rFonts w:ascii="Times New Roman" w:hAnsi="Times New Roman"/>
          <w:sz w:val="24"/>
        </w:rPr>
        <w:t>Diferentemente de uma tarefa de classificação em categorias fixas, a seleção de resposta exige comparar uma pergunta contra um conjunto variável de candidatas. A abordagem adotada segue o paradigma de classificação de pares, no espírito de representações como InferSent (Conneau et al., 2017): para cada par (pergunta, candidata), os embeddings são combinados em um vetor de características de 3072 dimensões — concatenação do embedding da pergunta, do embedding da candidata, da diferença absoluta elemento a elemento e do produto elemento a elemento entre os dois — e um Perceptron Multicamadas (MLP) com duas camadas ocultas, ativação ReLU e dropout é treinado para prever se o par constitui uma correspondência (rótulo 1) ou não (rótulo 0), com função de perda de entropia cruzada binária.</w:t>
      </w:r>
    </w:p>
    <w:p>
      <w:pPr>
        <w:jc w:val="both"/>
      </w:pPr>
      <w:r>
        <w:rPr>
          <w:rFonts w:ascii="Times New Roman" w:hAnsi="Times New Roman"/>
          <w:sz w:val="24"/>
        </w:rPr>
        <w:t>O conjunto de treino foi construído a partir da totalidade das 2.307 perguntas do conjunto de treino oficial. Para cada pergunta, foi gerado um par positivo (a resposta correta) e oito pares negativos (respostas incorretas amostradas aleatoriamente do próprio conjunto de 50 candidatas daquela pergunta), totalizando 20.763 pares de treino. Uma versão preliminar deste experimento, com subamostra de 800 perguntas e apenas 4 negativos por positivo, foi utilizada para validar a viabilidade da abordagem antes da execução com o conjunto completo; a comparação entre as duas versões é discutida na Seção 4.3.</w:t>
      </w:r>
    </w:p>
    <w:p>
      <w:pPr>
        <w:jc w:val="both"/>
      </w:pPr>
      <w:r>
        <w:rPr>
          <w:rFonts w:ascii="Times New Roman" w:hAnsi="Times New Roman"/>
          <w:sz w:val="24"/>
        </w:rPr>
        <w:t>Na etapa de inferência, para uma pergunta com um conjunto de candidatas, todos os pares (pergunta, candidata) são pontuados pelo modelo e ordenados pela probabilidade de correspondência; a candidata de maior pontuação é a resposta selecionada pelo sistema.</w:t>
      </w:r>
    </w:p>
    <w:p>
      <w:pPr>
        <w:spacing w:before="160" w:after="120"/>
      </w:pPr>
      <w:r>
        <w:rPr>
          <w:rFonts w:ascii="Times New Roman" w:hAnsi="Times New Roman"/>
          <w:b/>
          <w:sz w:val="24"/>
        </w:rPr>
        <w:t>3.4. Busca de Hiperparâmetros e Métricas</w:t>
      </w:r>
    </w:p>
    <w:p>
      <w:pPr>
        <w:jc w:val="both"/>
      </w:pPr>
      <w:r>
        <w:rPr>
          <w:rFonts w:ascii="Times New Roman" w:hAnsi="Times New Roman"/>
          <w:sz w:val="24"/>
        </w:rPr>
        <w:t>Uma busca em grade foi realizada sobre dimensão da camada oculta ({128, 256}), taxa de dropout ({0,2; 0,4}) e taxa de aprendizado ({1×10⁻³; 1×10⁻⁴}), totalizando 8 combinações, cada uma treinada por até 25 épocas com parada antecipada (paciência de 4 épocas) baseada no Mean Reciprocal Rank (MRR) do conjunto de validação oficial (50 perguntas).</w:t>
      </w:r>
    </w:p>
    <w:p>
      <w:pPr>
        <w:jc w:val="both"/>
      </w:pPr>
      <w:r>
        <w:rPr>
          <w:rFonts w:ascii="Times New Roman" w:hAnsi="Times New Roman"/>
          <w:sz w:val="24"/>
        </w:rPr>
        <w:t>Como a tarefa é de ranqueamento, e não de classificação em classes fixas, o F1-macro não se aplica diretamente. Foram utilizadas duas métricas padrão da literatura de recuperação de informação e seleção de resposta: Accuracy@1 (proporção de perguntas em que a resposta correta é ranqueada em primeiro lugar entre as 50 candidatas) e MRR — Mean Reciprocal Rank, a média do inverso da posição em que a resposta correta aparece no ranking.</w:t>
      </w:r>
    </w:p>
    <w:p>
      <w:pPr>
        <w:jc w:val="both"/>
      </w:pPr>
      <w:r>
        <w:rPr>
          <w:rFonts w:ascii="Times New Roman" w:hAnsi="Times New Roman"/>
          <w:sz w:val="24"/>
        </w:rPr>
        <w:t>Para isolar a contribuição do classificador treinado, foi também avaliado um baseline sem qualquer treinamento: ranqueamento das candidatas pela similaridade de cosseno bruta entre o embedding da pergunta e o embedding de cada candidata, calculados diretamente pelo BERTimbau congelado.</w:t>
      </w:r>
    </w:p>
    <w:p>
      <w:pPr>
        <w:spacing w:before="240" w:after="120"/>
      </w:pPr>
      <w:r>
        <w:rPr>
          <w:rFonts w:ascii="Times New Roman" w:hAnsi="Times New Roman"/>
          <w:b/>
          <w:sz w:val="24"/>
        </w:rPr>
        <w:t>4. Resultados</w:t>
      </w:r>
    </w:p>
    <w:p>
      <w:pPr>
        <w:spacing w:before="160" w:after="120"/>
      </w:pPr>
      <w:r>
        <w:rPr>
          <w:rFonts w:ascii="Times New Roman" w:hAnsi="Times New Roman"/>
          <w:b/>
          <w:sz w:val="24"/>
        </w:rPr>
        <w:t>4.1. Busca de Hiperparâmetros</w:t>
      </w:r>
    </w:p>
    <w:p>
      <w:pPr>
        <w:jc w:val="both"/>
      </w:pPr>
      <w:r>
        <w:rPr>
          <w:rFonts w:ascii="Times New Roman" w:hAnsi="Times New Roman"/>
          <w:sz w:val="24"/>
        </w:rPr>
        <w:t>A Tabela 1 apresenta o MRR e o Accuracy@1 de validação para as 8 combinações de hiperparâmetros avaliadas com o conjunto de treino completo. A configuração com dimensão oculta de 128, dropout de 0,4 e taxa de aprendizado de 1×10⁻⁴ obteve o melhor desempenho de validação (MRR = 0,735), embora cinco das oito combinações tenham atingido o mesmo Accuracy@1 de validação (0,64), indicando relativa robustez do modelo à escolha de hiperparâmetros quando treinado com dado suficiente.</w:t>
      </w:r>
    </w:p>
    <w:p>
      <w:pPr>
        <w:spacing w:before="200" w:after="80"/>
        <w:jc w:val="center"/>
      </w:pPr>
      <w:r>
        <w:rPr>
          <w:rFonts w:ascii="Times New Roman" w:hAnsi="Times New Roman"/>
          <w:sz w:val="20"/>
        </w:rPr>
        <w:t>Tabela 1. MRR e Accuracy@1 de validação por combinação de hiperparâmetros (Grid Search, 8 combinações, treino completo, 50 perguntas de validação).</w:t>
      </w:r>
    </w:p>
    <w:tbl>
      <w:tblPr>
        <w:tblStyle w:val="TableGrid"/>
        <w:tblW w:type="auto" w:w="0"/>
        <w:tblLook w:firstColumn="1" w:firstRow="1" w:lastColumn="0" w:lastRow="0" w:noHBand="0" w:noVBand="1" w:val="04A0"/>
      </w:tblPr>
      <w:tblGrid>
        <w:gridCol w:w="1984"/>
        <w:gridCol w:w="1984"/>
        <w:gridCol w:w="1984"/>
        <w:gridCol w:w="1984"/>
        <w:gridCol w:w="1984"/>
      </w:tblGrid>
      <w:tr>
        <w:tc>
          <w:tcPr>
            <w:tcW w:type="dxa" w:w="1984"/>
          </w:tcPr>
          <w:p>
            <w:pPr>
              <w:jc w:val="center"/>
            </w:pPr>
            <w:r>
              <w:rPr>
                <w:rFonts w:ascii="Times New Roman" w:hAnsi="Times New Roman"/>
                <w:b/>
                <w:sz w:val="18"/>
              </w:rPr>
              <w:t>Hidden</w:t>
            </w:r>
          </w:p>
        </w:tc>
        <w:tc>
          <w:tcPr>
            <w:tcW w:type="dxa" w:w="1984"/>
          </w:tcPr>
          <w:p>
            <w:pPr>
              <w:jc w:val="center"/>
            </w:pPr>
            <w:r>
              <w:rPr>
                <w:rFonts w:ascii="Times New Roman" w:hAnsi="Times New Roman"/>
                <w:b/>
                <w:sz w:val="18"/>
              </w:rPr>
              <w:t>Dropout</w:t>
            </w:r>
          </w:p>
        </w:tc>
        <w:tc>
          <w:tcPr>
            <w:tcW w:type="dxa" w:w="1984"/>
          </w:tcPr>
          <w:p>
            <w:pPr>
              <w:jc w:val="center"/>
            </w:pPr>
            <w:r>
              <w:rPr>
                <w:rFonts w:ascii="Times New Roman" w:hAnsi="Times New Roman"/>
                <w:b/>
                <w:sz w:val="18"/>
              </w:rPr>
              <w:t>Learning Rate</w:t>
            </w:r>
          </w:p>
        </w:tc>
        <w:tc>
          <w:tcPr>
            <w:tcW w:type="dxa" w:w="1984"/>
          </w:tcPr>
          <w:p>
            <w:pPr>
              <w:jc w:val="center"/>
            </w:pPr>
            <w:r>
              <w:rPr>
                <w:rFonts w:ascii="Times New Roman" w:hAnsi="Times New Roman"/>
                <w:b/>
                <w:sz w:val="18"/>
              </w:rPr>
              <w:t>MRR (val.)</w:t>
            </w:r>
          </w:p>
        </w:tc>
        <w:tc>
          <w:tcPr>
            <w:tcW w:type="dxa" w:w="1984"/>
          </w:tcPr>
          <w:p>
            <w:pPr>
              <w:jc w:val="center"/>
            </w:pPr>
            <w:r>
              <w:rPr>
                <w:rFonts w:ascii="Times New Roman" w:hAnsi="Times New Roman"/>
                <w:b/>
                <w:sz w:val="18"/>
              </w:rPr>
              <w:t>Acc@1 (val.)</w:t>
            </w:r>
          </w:p>
        </w:tc>
      </w:tr>
      <w:tr>
        <w:tc>
          <w:tcPr>
            <w:tcW w:type="dxa" w:w="1984"/>
          </w:tcPr>
          <w:p>
            <w:pPr>
              <w:jc w:val="center"/>
            </w:pPr>
            <w:r>
              <w:rPr>
                <w:rFonts w:ascii="Times New Roman" w:hAnsi="Times New Roman"/>
                <w:sz w:val="18"/>
              </w:rPr>
              <w:t>128</w:t>
            </w:r>
          </w:p>
        </w:tc>
        <w:tc>
          <w:tcPr>
            <w:tcW w:type="dxa" w:w="1984"/>
          </w:tcPr>
          <w:p>
            <w:pPr>
              <w:jc w:val="center"/>
            </w:pPr>
            <w:r>
              <w:rPr>
                <w:rFonts w:ascii="Times New Roman" w:hAnsi="Times New Roman"/>
                <w:sz w:val="18"/>
              </w:rPr>
              <w:t>0,4</w:t>
            </w:r>
          </w:p>
        </w:tc>
        <w:tc>
          <w:tcPr>
            <w:tcW w:type="dxa" w:w="1984"/>
          </w:tcPr>
          <w:p>
            <w:pPr>
              <w:jc w:val="center"/>
            </w:pPr>
            <w:r>
              <w:rPr>
                <w:rFonts w:ascii="Times New Roman" w:hAnsi="Times New Roman"/>
                <w:sz w:val="18"/>
              </w:rPr>
              <w:t>1×10⁻⁴</w:t>
            </w:r>
          </w:p>
        </w:tc>
        <w:tc>
          <w:tcPr>
            <w:tcW w:type="dxa" w:w="1984"/>
          </w:tcPr>
          <w:p>
            <w:pPr>
              <w:jc w:val="center"/>
            </w:pPr>
            <w:r>
              <w:rPr>
                <w:rFonts w:ascii="Times New Roman" w:hAnsi="Times New Roman"/>
                <w:sz w:val="18"/>
              </w:rPr>
              <w:t>0,735</w:t>
            </w:r>
          </w:p>
        </w:tc>
        <w:tc>
          <w:tcPr>
            <w:tcW w:type="dxa" w:w="1984"/>
          </w:tcPr>
          <w:p>
            <w:pPr>
              <w:jc w:val="center"/>
            </w:pPr>
            <w:r>
              <w:rPr>
                <w:rFonts w:ascii="Times New Roman" w:hAnsi="Times New Roman"/>
                <w:sz w:val="18"/>
              </w:rPr>
              <w:t>0,64</w:t>
            </w:r>
          </w:p>
        </w:tc>
      </w:tr>
      <w:tr>
        <w:tc>
          <w:tcPr>
            <w:tcW w:type="dxa" w:w="1984"/>
          </w:tcPr>
          <w:p>
            <w:pPr>
              <w:jc w:val="center"/>
            </w:pPr>
            <w:r>
              <w:rPr>
                <w:rFonts w:ascii="Times New Roman" w:hAnsi="Times New Roman"/>
                <w:sz w:val="18"/>
              </w:rPr>
              <w:t>256</w:t>
            </w:r>
          </w:p>
        </w:tc>
        <w:tc>
          <w:tcPr>
            <w:tcW w:type="dxa" w:w="1984"/>
          </w:tcPr>
          <w:p>
            <w:pPr>
              <w:jc w:val="center"/>
            </w:pPr>
            <w:r>
              <w:rPr>
                <w:rFonts w:ascii="Times New Roman" w:hAnsi="Times New Roman"/>
                <w:sz w:val="18"/>
              </w:rPr>
              <w:t>0,2</w:t>
            </w:r>
          </w:p>
        </w:tc>
        <w:tc>
          <w:tcPr>
            <w:tcW w:type="dxa" w:w="1984"/>
          </w:tcPr>
          <w:p>
            <w:pPr>
              <w:jc w:val="center"/>
            </w:pPr>
            <w:r>
              <w:rPr>
                <w:rFonts w:ascii="Times New Roman" w:hAnsi="Times New Roman"/>
                <w:sz w:val="18"/>
              </w:rPr>
              <w:t>1×10⁻⁴</w:t>
            </w:r>
          </w:p>
        </w:tc>
        <w:tc>
          <w:tcPr>
            <w:tcW w:type="dxa" w:w="1984"/>
          </w:tcPr>
          <w:p>
            <w:pPr>
              <w:jc w:val="center"/>
            </w:pPr>
            <w:r>
              <w:rPr>
                <w:rFonts w:ascii="Times New Roman" w:hAnsi="Times New Roman"/>
                <w:sz w:val="18"/>
              </w:rPr>
              <w:t>0,734</w:t>
            </w:r>
          </w:p>
        </w:tc>
        <w:tc>
          <w:tcPr>
            <w:tcW w:type="dxa" w:w="1984"/>
          </w:tcPr>
          <w:p>
            <w:pPr>
              <w:jc w:val="center"/>
            </w:pPr>
            <w:r>
              <w:rPr>
                <w:rFonts w:ascii="Times New Roman" w:hAnsi="Times New Roman"/>
                <w:sz w:val="18"/>
              </w:rPr>
              <w:t>0,64</w:t>
            </w:r>
          </w:p>
        </w:tc>
      </w:tr>
      <w:tr>
        <w:tc>
          <w:tcPr>
            <w:tcW w:type="dxa" w:w="1984"/>
          </w:tcPr>
          <w:p>
            <w:pPr>
              <w:jc w:val="center"/>
            </w:pPr>
            <w:r>
              <w:rPr>
                <w:rFonts w:ascii="Times New Roman" w:hAnsi="Times New Roman"/>
                <w:sz w:val="18"/>
              </w:rPr>
              <w:t>256</w:t>
            </w:r>
          </w:p>
        </w:tc>
        <w:tc>
          <w:tcPr>
            <w:tcW w:type="dxa" w:w="1984"/>
          </w:tcPr>
          <w:p>
            <w:pPr>
              <w:jc w:val="center"/>
            </w:pPr>
            <w:r>
              <w:rPr>
                <w:rFonts w:ascii="Times New Roman" w:hAnsi="Times New Roman"/>
                <w:sz w:val="18"/>
              </w:rPr>
              <w:t>0,4</w:t>
            </w:r>
          </w:p>
        </w:tc>
        <w:tc>
          <w:tcPr>
            <w:tcW w:type="dxa" w:w="1984"/>
          </w:tcPr>
          <w:p>
            <w:pPr>
              <w:jc w:val="center"/>
            </w:pPr>
            <w:r>
              <w:rPr>
                <w:rFonts w:ascii="Times New Roman" w:hAnsi="Times New Roman"/>
                <w:sz w:val="18"/>
              </w:rPr>
              <w:t>1×10⁻⁴</w:t>
            </w:r>
          </w:p>
        </w:tc>
        <w:tc>
          <w:tcPr>
            <w:tcW w:type="dxa" w:w="1984"/>
          </w:tcPr>
          <w:p>
            <w:pPr>
              <w:jc w:val="center"/>
            </w:pPr>
            <w:r>
              <w:rPr>
                <w:rFonts w:ascii="Times New Roman" w:hAnsi="Times New Roman"/>
                <w:sz w:val="18"/>
              </w:rPr>
              <w:t>0,731</w:t>
            </w:r>
          </w:p>
        </w:tc>
        <w:tc>
          <w:tcPr>
            <w:tcW w:type="dxa" w:w="1984"/>
          </w:tcPr>
          <w:p>
            <w:pPr>
              <w:jc w:val="center"/>
            </w:pPr>
            <w:r>
              <w:rPr>
                <w:rFonts w:ascii="Times New Roman" w:hAnsi="Times New Roman"/>
                <w:sz w:val="18"/>
              </w:rPr>
              <w:t>0,64</w:t>
            </w:r>
          </w:p>
        </w:tc>
      </w:tr>
      <w:tr>
        <w:tc>
          <w:tcPr>
            <w:tcW w:type="dxa" w:w="1984"/>
          </w:tcPr>
          <w:p>
            <w:pPr>
              <w:jc w:val="center"/>
            </w:pPr>
            <w:r>
              <w:rPr>
                <w:rFonts w:ascii="Times New Roman" w:hAnsi="Times New Roman"/>
                <w:sz w:val="18"/>
              </w:rPr>
              <w:t>128</w:t>
            </w:r>
          </w:p>
        </w:tc>
        <w:tc>
          <w:tcPr>
            <w:tcW w:type="dxa" w:w="1984"/>
          </w:tcPr>
          <w:p>
            <w:pPr>
              <w:jc w:val="center"/>
            </w:pPr>
            <w:r>
              <w:rPr>
                <w:rFonts w:ascii="Times New Roman" w:hAnsi="Times New Roman"/>
                <w:sz w:val="18"/>
              </w:rPr>
              <w:t>0,4</w:t>
            </w:r>
          </w:p>
        </w:tc>
        <w:tc>
          <w:tcPr>
            <w:tcW w:type="dxa" w:w="1984"/>
          </w:tcPr>
          <w:p>
            <w:pPr>
              <w:jc w:val="center"/>
            </w:pPr>
            <w:r>
              <w:rPr>
                <w:rFonts w:ascii="Times New Roman" w:hAnsi="Times New Roman"/>
                <w:sz w:val="18"/>
              </w:rPr>
              <w:t>1×10⁻³</w:t>
            </w:r>
          </w:p>
        </w:tc>
        <w:tc>
          <w:tcPr>
            <w:tcW w:type="dxa" w:w="1984"/>
          </w:tcPr>
          <w:p>
            <w:pPr>
              <w:jc w:val="center"/>
            </w:pPr>
            <w:r>
              <w:rPr>
                <w:rFonts w:ascii="Times New Roman" w:hAnsi="Times New Roman"/>
                <w:sz w:val="18"/>
              </w:rPr>
              <w:t>0,731</w:t>
            </w:r>
          </w:p>
        </w:tc>
        <w:tc>
          <w:tcPr>
            <w:tcW w:type="dxa" w:w="1984"/>
          </w:tcPr>
          <w:p>
            <w:pPr>
              <w:jc w:val="center"/>
            </w:pPr>
            <w:r>
              <w:rPr>
                <w:rFonts w:ascii="Times New Roman" w:hAnsi="Times New Roman"/>
                <w:sz w:val="18"/>
              </w:rPr>
              <w:t>0,64</w:t>
            </w:r>
          </w:p>
        </w:tc>
      </w:tr>
      <w:tr>
        <w:tc>
          <w:tcPr>
            <w:tcW w:type="dxa" w:w="1984"/>
          </w:tcPr>
          <w:p>
            <w:pPr>
              <w:jc w:val="center"/>
            </w:pPr>
            <w:r>
              <w:rPr>
                <w:rFonts w:ascii="Times New Roman" w:hAnsi="Times New Roman"/>
                <w:sz w:val="18"/>
              </w:rPr>
              <w:t>128</w:t>
            </w:r>
          </w:p>
        </w:tc>
        <w:tc>
          <w:tcPr>
            <w:tcW w:type="dxa" w:w="1984"/>
          </w:tcPr>
          <w:p>
            <w:pPr>
              <w:jc w:val="center"/>
            </w:pPr>
            <w:r>
              <w:rPr>
                <w:rFonts w:ascii="Times New Roman" w:hAnsi="Times New Roman"/>
                <w:sz w:val="18"/>
              </w:rPr>
              <w:t>0,2</w:t>
            </w:r>
          </w:p>
        </w:tc>
        <w:tc>
          <w:tcPr>
            <w:tcW w:type="dxa" w:w="1984"/>
          </w:tcPr>
          <w:p>
            <w:pPr>
              <w:jc w:val="center"/>
            </w:pPr>
            <w:r>
              <w:rPr>
                <w:rFonts w:ascii="Times New Roman" w:hAnsi="Times New Roman"/>
                <w:sz w:val="18"/>
              </w:rPr>
              <w:t>1×10⁻⁴</w:t>
            </w:r>
          </w:p>
        </w:tc>
        <w:tc>
          <w:tcPr>
            <w:tcW w:type="dxa" w:w="1984"/>
          </w:tcPr>
          <w:p>
            <w:pPr>
              <w:jc w:val="center"/>
            </w:pPr>
            <w:r>
              <w:rPr>
                <w:rFonts w:ascii="Times New Roman" w:hAnsi="Times New Roman"/>
                <w:sz w:val="18"/>
              </w:rPr>
              <w:t>0,728</w:t>
            </w:r>
          </w:p>
        </w:tc>
        <w:tc>
          <w:tcPr>
            <w:tcW w:type="dxa" w:w="1984"/>
          </w:tcPr>
          <w:p>
            <w:pPr>
              <w:jc w:val="center"/>
            </w:pPr>
            <w:r>
              <w:rPr>
                <w:rFonts w:ascii="Times New Roman" w:hAnsi="Times New Roman"/>
                <w:sz w:val="18"/>
              </w:rPr>
              <w:t>0,64</w:t>
            </w:r>
          </w:p>
        </w:tc>
      </w:tr>
      <w:tr>
        <w:tc>
          <w:tcPr>
            <w:tcW w:type="dxa" w:w="1984"/>
          </w:tcPr>
          <w:p>
            <w:pPr>
              <w:jc w:val="center"/>
            </w:pPr>
            <w:r>
              <w:rPr>
                <w:rFonts w:ascii="Times New Roman" w:hAnsi="Times New Roman"/>
                <w:sz w:val="18"/>
              </w:rPr>
              <w:t>256</w:t>
            </w:r>
          </w:p>
        </w:tc>
        <w:tc>
          <w:tcPr>
            <w:tcW w:type="dxa" w:w="1984"/>
          </w:tcPr>
          <w:p>
            <w:pPr>
              <w:jc w:val="center"/>
            </w:pPr>
            <w:r>
              <w:rPr>
                <w:rFonts w:ascii="Times New Roman" w:hAnsi="Times New Roman"/>
                <w:sz w:val="18"/>
              </w:rPr>
              <w:t>0,2</w:t>
            </w:r>
          </w:p>
        </w:tc>
        <w:tc>
          <w:tcPr>
            <w:tcW w:type="dxa" w:w="1984"/>
          </w:tcPr>
          <w:p>
            <w:pPr>
              <w:jc w:val="center"/>
            </w:pPr>
            <w:r>
              <w:rPr>
                <w:rFonts w:ascii="Times New Roman" w:hAnsi="Times New Roman"/>
                <w:sz w:val="18"/>
              </w:rPr>
              <w:t>1×10⁻³</w:t>
            </w:r>
          </w:p>
        </w:tc>
        <w:tc>
          <w:tcPr>
            <w:tcW w:type="dxa" w:w="1984"/>
          </w:tcPr>
          <w:p>
            <w:pPr>
              <w:jc w:val="center"/>
            </w:pPr>
            <w:r>
              <w:rPr>
                <w:rFonts w:ascii="Times New Roman" w:hAnsi="Times New Roman"/>
                <w:sz w:val="18"/>
              </w:rPr>
              <w:t>0,726</w:t>
            </w:r>
          </w:p>
        </w:tc>
        <w:tc>
          <w:tcPr>
            <w:tcW w:type="dxa" w:w="1984"/>
          </w:tcPr>
          <w:p>
            <w:pPr>
              <w:jc w:val="center"/>
            </w:pPr>
            <w:r>
              <w:rPr>
                <w:rFonts w:ascii="Times New Roman" w:hAnsi="Times New Roman"/>
                <w:sz w:val="18"/>
              </w:rPr>
              <w:t>0,62</w:t>
            </w:r>
          </w:p>
        </w:tc>
      </w:tr>
      <w:tr>
        <w:tc>
          <w:tcPr>
            <w:tcW w:type="dxa" w:w="1984"/>
          </w:tcPr>
          <w:p>
            <w:pPr>
              <w:jc w:val="center"/>
            </w:pPr>
            <w:r>
              <w:rPr>
                <w:rFonts w:ascii="Times New Roman" w:hAnsi="Times New Roman"/>
                <w:sz w:val="18"/>
              </w:rPr>
              <w:t>128</w:t>
            </w:r>
          </w:p>
        </w:tc>
        <w:tc>
          <w:tcPr>
            <w:tcW w:type="dxa" w:w="1984"/>
          </w:tcPr>
          <w:p>
            <w:pPr>
              <w:jc w:val="center"/>
            </w:pPr>
            <w:r>
              <w:rPr>
                <w:rFonts w:ascii="Times New Roman" w:hAnsi="Times New Roman"/>
                <w:sz w:val="18"/>
              </w:rPr>
              <w:t>0,2</w:t>
            </w:r>
          </w:p>
        </w:tc>
        <w:tc>
          <w:tcPr>
            <w:tcW w:type="dxa" w:w="1984"/>
          </w:tcPr>
          <w:p>
            <w:pPr>
              <w:jc w:val="center"/>
            </w:pPr>
            <w:r>
              <w:rPr>
                <w:rFonts w:ascii="Times New Roman" w:hAnsi="Times New Roman"/>
                <w:sz w:val="18"/>
              </w:rPr>
              <w:t>1×10⁻³</w:t>
            </w:r>
          </w:p>
        </w:tc>
        <w:tc>
          <w:tcPr>
            <w:tcW w:type="dxa" w:w="1984"/>
          </w:tcPr>
          <w:p>
            <w:pPr>
              <w:jc w:val="center"/>
            </w:pPr>
            <w:r>
              <w:rPr>
                <w:rFonts w:ascii="Times New Roman" w:hAnsi="Times New Roman"/>
                <w:sz w:val="18"/>
              </w:rPr>
              <w:t>0,724</w:t>
            </w:r>
          </w:p>
        </w:tc>
        <w:tc>
          <w:tcPr>
            <w:tcW w:type="dxa" w:w="1984"/>
          </w:tcPr>
          <w:p>
            <w:pPr>
              <w:jc w:val="center"/>
            </w:pPr>
            <w:r>
              <w:rPr>
                <w:rFonts w:ascii="Times New Roman" w:hAnsi="Times New Roman"/>
                <w:sz w:val="18"/>
              </w:rPr>
              <w:t>0,62</w:t>
            </w:r>
          </w:p>
        </w:tc>
      </w:tr>
      <w:tr>
        <w:tc>
          <w:tcPr>
            <w:tcW w:type="dxa" w:w="1984"/>
          </w:tcPr>
          <w:p>
            <w:pPr>
              <w:jc w:val="center"/>
            </w:pPr>
            <w:r>
              <w:rPr>
                <w:rFonts w:ascii="Times New Roman" w:hAnsi="Times New Roman"/>
                <w:sz w:val="18"/>
              </w:rPr>
              <w:t>256</w:t>
            </w:r>
          </w:p>
        </w:tc>
        <w:tc>
          <w:tcPr>
            <w:tcW w:type="dxa" w:w="1984"/>
          </w:tcPr>
          <w:p>
            <w:pPr>
              <w:jc w:val="center"/>
            </w:pPr>
            <w:r>
              <w:rPr>
                <w:rFonts w:ascii="Times New Roman" w:hAnsi="Times New Roman"/>
                <w:sz w:val="18"/>
              </w:rPr>
              <w:t>0,4</w:t>
            </w:r>
          </w:p>
        </w:tc>
        <w:tc>
          <w:tcPr>
            <w:tcW w:type="dxa" w:w="1984"/>
          </w:tcPr>
          <w:p>
            <w:pPr>
              <w:jc w:val="center"/>
            </w:pPr>
            <w:r>
              <w:rPr>
                <w:rFonts w:ascii="Times New Roman" w:hAnsi="Times New Roman"/>
                <w:sz w:val="18"/>
              </w:rPr>
              <w:t>1×10⁻³</w:t>
            </w:r>
          </w:p>
        </w:tc>
        <w:tc>
          <w:tcPr>
            <w:tcW w:type="dxa" w:w="1984"/>
          </w:tcPr>
          <w:p>
            <w:pPr>
              <w:jc w:val="center"/>
            </w:pPr>
            <w:r>
              <w:rPr>
                <w:rFonts w:ascii="Times New Roman" w:hAnsi="Times New Roman"/>
                <w:sz w:val="18"/>
              </w:rPr>
              <w:t>0,708</w:t>
            </w:r>
          </w:p>
        </w:tc>
        <w:tc>
          <w:tcPr>
            <w:tcW w:type="dxa" w:w="1984"/>
          </w:tcPr>
          <w:p>
            <w:pPr>
              <w:jc w:val="center"/>
            </w:pPr>
            <w:r>
              <w:rPr>
                <w:rFonts w:ascii="Times New Roman" w:hAnsi="Times New Roman"/>
                <w:sz w:val="18"/>
              </w:rPr>
              <w:t>0,60</w:t>
            </w:r>
          </w:p>
        </w:tc>
      </w:tr>
    </w:tbl>
    <w:p>
      <w:pPr>
        <w:spacing w:after="80"/>
      </w:pPr>
    </w:p>
    <w:p>
      <w:pPr>
        <w:spacing w:before="160" w:after="120"/>
      </w:pPr>
      <w:r>
        <w:rPr>
          <w:rFonts w:ascii="Times New Roman" w:hAnsi="Times New Roman"/>
          <w:b/>
          <w:sz w:val="24"/>
        </w:rPr>
        <w:t>4.2. Avaliação no Conjunto de Teste e Baselines</w:t>
      </w:r>
    </w:p>
    <w:p>
      <w:pPr>
        <w:jc w:val="both"/>
      </w:pPr>
      <w:r>
        <w:rPr>
          <w:rFonts w:ascii="Times New Roman" w:hAnsi="Times New Roman"/>
          <w:sz w:val="24"/>
        </w:rPr>
        <w:t>A configuração selecionada (hidden=128, dropout=0,4, lr=1×10⁻⁴) foi reavaliada no conjunto de teste oficial (300 perguntas), isolado da busca de hiperparâmetros. A Tabela 2 compara o resultado obtido contra dois baselines: um classificador aleatório e o ranqueamento por similaridade de cosseno pura sobre os embeddings do BERTimbau, sem qualquer classificador treinado.</w:t>
      </w:r>
    </w:p>
    <w:p>
      <w:pPr>
        <w:spacing w:before="200" w:after="80"/>
        <w:jc w:val="center"/>
      </w:pPr>
      <w:r>
        <w:rPr>
          <w:rFonts w:ascii="Times New Roman" w:hAnsi="Times New Roman"/>
          <w:sz w:val="20"/>
        </w:rPr>
        <w:t>Tabela 2. Accuracy@1 e MRR no conjunto de teste (300 perguntas, 50 candidatas cada): modelo final versus baselines.</w:t>
      </w:r>
    </w:p>
    <w:tbl>
      <w:tblPr>
        <w:tblStyle w:val="TableGrid"/>
        <w:tblW w:type="auto" w:w="0"/>
        <w:tblLook w:firstColumn="1" w:firstRow="1" w:lastColumn="0" w:lastRow="0" w:noHBand="0" w:noVBand="1" w:val="04A0"/>
      </w:tblPr>
      <w:tblGrid>
        <w:gridCol w:w="3307"/>
        <w:gridCol w:w="3307"/>
        <w:gridCol w:w="3307"/>
      </w:tblGrid>
      <w:tr>
        <w:tc>
          <w:tcPr>
            <w:tcW w:type="dxa" w:w="3307"/>
          </w:tcPr>
          <w:p>
            <w:pPr>
              <w:jc w:val="center"/>
            </w:pPr>
            <w:r>
              <w:rPr>
                <w:rFonts w:ascii="Times New Roman" w:hAnsi="Times New Roman"/>
                <w:b/>
                <w:sz w:val="18"/>
              </w:rPr>
              <w:t>Método</w:t>
            </w:r>
          </w:p>
        </w:tc>
        <w:tc>
          <w:tcPr>
            <w:tcW w:type="dxa" w:w="3307"/>
          </w:tcPr>
          <w:p>
            <w:pPr>
              <w:jc w:val="center"/>
            </w:pPr>
            <w:r>
              <w:rPr>
                <w:rFonts w:ascii="Times New Roman" w:hAnsi="Times New Roman"/>
                <w:b/>
                <w:sz w:val="18"/>
              </w:rPr>
              <w:t>Accuracy@1</w:t>
            </w:r>
          </w:p>
        </w:tc>
        <w:tc>
          <w:tcPr>
            <w:tcW w:type="dxa" w:w="3307"/>
          </w:tcPr>
          <w:p>
            <w:pPr>
              <w:jc w:val="center"/>
            </w:pPr>
            <w:r>
              <w:rPr>
                <w:rFonts w:ascii="Times New Roman" w:hAnsi="Times New Roman"/>
                <w:b/>
                <w:sz w:val="18"/>
              </w:rPr>
              <w:t>MRR</w:t>
            </w:r>
          </w:p>
        </w:tc>
      </w:tr>
      <w:tr>
        <w:tc>
          <w:tcPr>
            <w:tcW w:type="dxa" w:w="3307"/>
          </w:tcPr>
          <w:p>
            <w:pPr>
              <w:jc w:val="center"/>
            </w:pPr>
            <w:r>
              <w:rPr>
                <w:rFonts w:ascii="Times New Roman" w:hAnsi="Times New Roman"/>
                <w:sz w:val="18"/>
              </w:rPr>
              <w:t>MLP treinado (final)</w:t>
            </w:r>
          </w:p>
        </w:tc>
        <w:tc>
          <w:tcPr>
            <w:tcW w:type="dxa" w:w="3307"/>
          </w:tcPr>
          <w:p>
            <w:pPr>
              <w:jc w:val="center"/>
            </w:pPr>
            <w:r>
              <w:rPr>
                <w:rFonts w:ascii="Times New Roman" w:hAnsi="Times New Roman"/>
                <w:sz w:val="18"/>
              </w:rPr>
              <w:t>0,570</w:t>
            </w:r>
          </w:p>
        </w:tc>
        <w:tc>
          <w:tcPr>
            <w:tcW w:type="dxa" w:w="3307"/>
          </w:tcPr>
          <w:p>
            <w:pPr>
              <w:jc w:val="center"/>
            </w:pPr>
            <w:r>
              <w:rPr>
                <w:rFonts w:ascii="Times New Roman" w:hAnsi="Times New Roman"/>
                <w:sz w:val="18"/>
              </w:rPr>
              <w:t>0,679</w:t>
            </w:r>
          </w:p>
        </w:tc>
      </w:tr>
      <w:tr>
        <w:tc>
          <w:tcPr>
            <w:tcW w:type="dxa" w:w="3307"/>
          </w:tcPr>
          <w:p>
            <w:pPr>
              <w:jc w:val="center"/>
            </w:pPr>
            <w:r>
              <w:rPr>
                <w:rFonts w:ascii="Times New Roman" w:hAnsi="Times New Roman"/>
                <w:sz w:val="18"/>
              </w:rPr>
              <w:t>Similaridade de cosseno pura</w:t>
            </w:r>
          </w:p>
        </w:tc>
        <w:tc>
          <w:tcPr>
            <w:tcW w:type="dxa" w:w="3307"/>
          </w:tcPr>
          <w:p>
            <w:pPr>
              <w:jc w:val="center"/>
            </w:pPr>
            <w:r>
              <w:rPr>
                <w:rFonts w:ascii="Times New Roman" w:hAnsi="Times New Roman"/>
                <w:sz w:val="18"/>
              </w:rPr>
              <w:t>0,277</w:t>
            </w:r>
          </w:p>
        </w:tc>
        <w:tc>
          <w:tcPr>
            <w:tcW w:type="dxa" w:w="3307"/>
          </w:tcPr>
          <w:p>
            <w:pPr>
              <w:jc w:val="center"/>
            </w:pPr>
            <w:r>
              <w:rPr>
                <w:rFonts w:ascii="Times New Roman" w:hAnsi="Times New Roman"/>
                <w:sz w:val="18"/>
              </w:rPr>
              <w:t>0,392</w:t>
            </w:r>
          </w:p>
        </w:tc>
      </w:tr>
      <w:tr>
        <w:tc>
          <w:tcPr>
            <w:tcW w:type="dxa" w:w="3307"/>
          </w:tcPr>
          <w:p>
            <w:pPr>
              <w:jc w:val="center"/>
            </w:pPr>
            <w:r>
              <w:rPr>
                <w:rFonts w:ascii="Times New Roman" w:hAnsi="Times New Roman"/>
                <w:sz w:val="18"/>
              </w:rPr>
              <w:t>Aleatório</w:t>
            </w:r>
          </w:p>
        </w:tc>
        <w:tc>
          <w:tcPr>
            <w:tcW w:type="dxa" w:w="3307"/>
          </w:tcPr>
          <w:p>
            <w:pPr>
              <w:jc w:val="center"/>
            </w:pPr>
            <w:r>
              <w:rPr>
                <w:rFonts w:ascii="Times New Roman" w:hAnsi="Times New Roman"/>
                <w:sz w:val="18"/>
              </w:rPr>
              <w:t>0,020</w:t>
            </w:r>
          </w:p>
        </w:tc>
        <w:tc>
          <w:tcPr>
            <w:tcW w:type="dxa" w:w="3307"/>
          </w:tcPr>
          <w:p>
            <w:pPr>
              <w:jc w:val="center"/>
            </w:pPr>
            <w:r>
              <w:rPr>
                <w:rFonts w:ascii="Times New Roman" w:hAnsi="Times New Roman"/>
                <w:sz w:val="18"/>
              </w:rPr>
              <w:t>0,090</w:t>
            </w:r>
          </w:p>
        </w:tc>
      </w:tr>
    </w:tbl>
    <w:p>
      <w:pPr>
        <w:spacing w:after="80"/>
      </w:pPr>
    </w:p>
    <w:p>
      <w:pPr>
        <w:jc w:val="both"/>
      </w:pPr>
      <w:r>
        <w:rPr>
          <w:rFonts w:ascii="Times New Roman" w:hAnsi="Times New Roman"/>
          <w:sz w:val="24"/>
        </w:rPr>
        <w:t>O modelo treinado posiciona a resposta correta em primeiro lugar em 57% das perguntas de teste — 28 vezes acima do acaso (1/50 = 0,020) e mais que o dobro do desempenho obtido ranqueando apenas por similaridade de cosseno entre os embeddings brutos (0,277). Esse resultado demonstra que, embora o BERTimbau congelado já capture sinal semântico relevante para o pareamento pergunta-resposta (evidenciado pelo baseline de cosseno superar o acaso por ampla margem), o classificador de pares aprende uma função de correspondência mais discriminativa do que a proximidade vetorial bruta, justificando a escolha metodológica do MLP sobre uma simples busca por similaridade.</w:t>
      </w:r>
    </w:p>
    <w:p>
      <w:pPr>
        <w:spacing w:before="160" w:after="120"/>
      </w:pPr>
      <w:r>
        <w:rPr>
          <w:rFonts w:ascii="Times New Roman" w:hAnsi="Times New Roman"/>
          <w:b/>
          <w:sz w:val="24"/>
        </w:rPr>
        <w:t>4.3. Efeito do Volume de Dados de Treino</w:t>
      </w:r>
    </w:p>
    <w:p>
      <w:pPr>
        <w:jc w:val="both"/>
      </w:pPr>
      <w:r>
        <w:rPr>
          <w:rFonts w:ascii="Times New Roman" w:hAnsi="Times New Roman"/>
          <w:sz w:val="24"/>
        </w:rPr>
        <w:t>A Tabela 3 compara a versão final do experimento (treino completo, 2.307 perguntas, 8 negativos por positivo) contra uma versão preliminar (subamostra de 800 perguntas, 4 negativos por positivo), mantendo idêntica a arquitetura e o procedimento de busca de hiperparâmetros. O aumento do volume de dados de treino elevou o Accuracy@1 de teste de 0,500 para 0,570 (ganho relativo de 14%) e o MRR de 0,622 para 0,679 (ganho relativo de 9%), confirmando que o gargalo de desempenho da versão preliminar era, ao menos em parte, de disponibilidade de exemplos de treino, e não uma limitação estrutural da arquitetura de classificação de pares.</w:t>
      </w:r>
    </w:p>
    <w:p>
      <w:pPr>
        <w:spacing w:before="200" w:after="80"/>
        <w:jc w:val="center"/>
      </w:pPr>
      <w:r>
        <w:rPr>
          <w:rFonts w:ascii="Times New Roman" w:hAnsi="Times New Roman"/>
          <w:sz w:val="20"/>
        </w:rPr>
        <w:t>Tabela 3. Efeito do volume de dados de treino no desempenho final (mesma arquitetura, mesmo conjunto de teste).</w:t>
      </w:r>
    </w:p>
    <w:tbl>
      <w:tblPr>
        <w:tblStyle w:val="TableGrid"/>
        <w:tblW w:type="auto" w:w="0"/>
        <w:tblLook w:firstColumn="1" w:firstRow="1" w:lastColumn="0" w:lastRow="0" w:noHBand="0" w:noVBand="1" w:val="04A0"/>
      </w:tblPr>
      <w:tblGrid>
        <w:gridCol w:w="1984"/>
        <w:gridCol w:w="1984"/>
        <w:gridCol w:w="1984"/>
        <w:gridCol w:w="1984"/>
        <w:gridCol w:w="1984"/>
      </w:tblGrid>
      <w:tr>
        <w:tc>
          <w:tcPr>
            <w:tcW w:type="dxa" w:w="1984"/>
          </w:tcPr>
          <w:p>
            <w:pPr>
              <w:jc w:val="center"/>
            </w:pPr>
            <w:r>
              <w:rPr>
                <w:rFonts w:ascii="Times New Roman" w:hAnsi="Times New Roman"/>
                <w:b/>
                <w:sz w:val="18"/>
              </w:rPr>
              <w:t>Versão</w:t>
            </w:r>
          </w:p>
        </w:tc>
        <w:tc>
          <w:tcPr>
            <w:tcW w:type="dxa" w:w="1984"/>
          </w:tcPr>
          <w:p>
            <w:pPr>
              <w:jc w:val="center"/>
            </w:pPr>
            <w:r>
              <w:rPr>
                <w:rFonts w:ascii="Times New Roman" w:hAnsi="Times New Roman"/>
                <w:b/>
                <w:sz w:val="18"/>
              </w:rPr>
              <w:t>Perguntas treino</w:t>
            </w:r>
          </w:p>
        </w:tc>
        <w:tc>
          <w:tcPr>
            <w:tcW w:type="dxa" w:w="1984"/>
          </w:tcPr>
          <w:p>
            <w:pPr>
              <w:jc w:val="center"/>
            </w:pPr>
            <w:r>
              <w:rPr>
                <w:rFonts w:ascii="Times New Roman" w:hAnsi="Times New Roman"/>
                <w:b/>
                <w:sz w:val="18"/>
              </w:rPr>
              <w:t>Negativos/pos.</w:t>
            </w:r>
          </w:p>
        </w:tc>
        <w:tc>
          <w:tcPr>
            <w:tcW w:type="dxa" w:w="1984"/>
          </w:tcPr>
          <w:p>
            <w:pPr>
              <w:jc w:val="center"/>
            </w:pPr>
            <w:r>
              <w:rPr>
                <w:rFonts w:ascii="Times New Roman" w:hAnsi="Times New Roman"/>
                <w:b/>
                <w:sz w:val="18"/>
              </w:rPr>
              <w:t>Acc@1</w:t>
            </w:r>
          </w:p>
        </w:tc>
        <w:tc>
          <w:tcPr>
            <w:tcW w:type="dxa" w:w="1984"/>
          </w:tcPr>
          <w:p>
            <w:pPr>
              <w:jc w:val="center"/>
            </w:pPr>
            <w:r>
              <w:rPr>
                <w:rFonts w:ascii="Times New Roman" w:hAnsi="Times New Roman"/>
                <w:b/>
                <w:sz w:val="18"/>
              </w:rPr>
              <w:t>MRR</w:t>
            </w:r>
          </w:p>
        </w:tc>
      </w:tr>
      <w:tr>
        <w:tc>
          <w:tcPr>
            <w:tcW w:type="dxa" w:w="1984"/>
          </w:tcPr>
          <w:p>
            <w:pPr>
              <w:jc w:val="center"/>
            </w:pPr>
            <w:r>
              <w:rPr>
                <w:rFonts w:ascii="Times New Roman" w:hAnsi="Times New Roman"/>
                <w:sz w:val="18"/>
              </w:rPr>
              <w:t>Preliminar</w:t>
            </w:r>
          </w:p>
        </w:tc>
        <w:tc>
          <w:tcPr>
            <w:tcW w:type="dxa" w:w="1984"/>
          </w:tcPr>
          <w:p>
            <w:pPr>
              <w:jc w:val="center"/>
            </w:pPr>
            <w:r>
              <w:rPr>
                <w:rFonts w:ascii="Times New Roman" w:hAnsi="Times New Roman"/>
                <w:sz w:val="18"/>
              </w:rPr>
              <w:t>800</w:t>
            </w:r>
          </w:p>
        </w:tc>
        <w:tc>
          <w:tcPr>
            <w:tcW w:type="dxa" w:w="1984"/>
          </w:tcPr>
          <w:p>
            <w:pPr>
              <w:jc w:val="center"/>
            </w:pPr>
            <w:r>
              <w:rPr>
                <w:rFonts w:ascii="Times New Roman" w:hAnsi="Times New Roman"/>
                <w:sz w:val="18"/>
              </w:rPr>
              <w:t>4</w:t>
            </w:r>
          </w:p>
        </w:tc>
        <w:tc>
          <w:tcPr>
            <w:tcW w:type="dxa" w:w="1984"/>
          </w:tcPr>
          <w:p>
            <w:pPr>
              <w:jc w:val="center"/>
            </w:pPr>
            <w:r>
              <w:rPr>
                <w:rFonts w:ascii="Times New Roman" w:hAnsi="Times New Roman"/>
                <w:sz w:val="18"/>
              </w:rPr>
              <w:t>0,500</w:t>
            </w:r>
          </w:p>
        </w:tc>
        <w:tc>
          <w:tcPr>
            <w:tcW w:type="dxa" w:w="1984"/>
          </w:tcPr>
          <w:p>
            <w:pPr>
              <w:jc w:val="center"/>
            </w:pPr>
            <w:r>
              <w:rPr>
                <w:rFonts w:ascii="Times New Roman" w:hAnsi="Times New Roman"/>
                <w:sz w:val="18"/>
              </w:rPr>
              <w:t>0,622</w:t>
            </w:r>
          </w:p>
        </w:tc>
      </w:tr>
      <w:tr>
        <w:tc>
          <w:tcPr>
            <w:tcW w:type="dxa" w:w="1984"/>
          </w:tcPr>
          <w:p>
            <w:pPr>
              <w:jc w:val="center"/>
            </w:pPr>
            <w:r>
              <w:rPr>
                <w:rFonts w:ascii="Times New Roman" w:hAnsi="Times New Roman"/>
                <w:sz w:val="18"/>
              </w:rPr>
              <w:t>Final</w:t>
            </w:r>
          </w:p>
        </w:tc>
        <w:tc>
          <w:tcPr>
            <w:tcW w:type="dxa" w:w="1984"/>
          </w:tcPr>
          <w:p>
            <w:pPr>
              <w:jc w:val="center"/>
            </w:pPr>
            <w:r>
              <w:rPr>
                <w:rFonts w:ascii="Times New Roman" w:hAnsi="Times New Roman"/>
                <w:sz w:val="18"/>
              </w:rPr>
              <w:t>2.307</w:t>
            </w:r>
          </w:p>
        </w:tc>
        <w:tc>
          <w:tcPr>
            <w:tcW w:type="dxa" w:w="1984"/>
          </w:tcPr>
          <w:p>
            <w:pPr>
              <w:jc w:val="center"/>
            </w:pPr>
            <w:r>
              <w:rPr>
                <w:rFonts w:ascii="Times New Roman" w:hAnsi="Times New Roman"/>
                <w:sz w:val="18"/>
              </w:rPr>
              <w:t>8</w:t>
            </w:r>
          </w:p>
        </w:tc>
        <w:tc>
          <w:tcPr>
            <w:tcW w:type="dxa" w:w="1984"/>
          </w:tcPr>
          <w:p>
            <w:pPr>
              <w:jc w:val="center"/>
            </w:pPr>
            <w:r>
              <w:rPr>
                <w:rFonts w:ascii="Times New Roman" w:hAnsi="Times New Roman"/>
                <w:sz w:val="18"/>
              </w:rPr>
              <w:t>0,570</w:t>
            </w:r>
          </w:p>
        </w:tc>
        <w:tc>
          <w:tcPr>
            <w:tcW w:type="dxa" w:w="1984"/>
          </w:tcPr>
          <w:p>
            <w:pPr>
              <w:jc w:val="center"/>
            </w:pPr>
            <w:r>
              <w:rPr>
                <w:rFonts w:ascii="Times New Roman" w:hAnsi="Times New Roman"/>
                <w:sz w:val="18"/>
              </w:rPr>
              <w:t>0,679</w:t>
            </w:r>
          </w:p>
        </w:tc>
      </w:tr>
    </w:tbl>
    <w:p>
      <w:pPr>
        <w:spacing w:after="80"/>
      </w:pPr>
    </w:p>
    <w:p>
      <w:pPr>
        <w:spacing w:before="160" w:after="120"/>
      </w:pPr>
      <w:r>
        <w:rPr>
          <w:rFonts w:ascii="Times New Roman" w:hAnsi="Times New Roman"/>
          <w:b/>
          <w:sz w:val="24"/>
        </w:rPr>
        <w:t>4.4. Discussão</w:t>
      </w:r>
    </w:p>
    <w:p>
      <w:pPr>
        <w:jc w:val="both"/>
      </w:pPr>
      <w:r>
        <w:rPr>
          <w:rFonts w:ascii="Times New Roman" w:hAnsi="Times New Roman"/>
          <w:sz w:val="24"/>
        </w:rPr>
        <w:t>Ao contrário de um experimento preliminar deste mesmo grupo com um dataset sintético de classificação financeira — cujo classificador atingiu F1-macro de 1,0, resultado atribuído à separabilidade lexical artificial dos dados gerados —, o resultado obtido sobre o MilkQA é substancialmente mais informativo por ser medido em dados reais, escritos por autores heterogêneos, sem controle artificial de vocabulário. O fato de o modelo acertar em primeiro lugar em 57% dos casos, embora bem acima dos dois baselines, é coerente com a dificuldade genuína da tarefa: respostas tecnicamente distintas podem compartilhar vocabulário veterinário/agropecuário comum (nomes de doenças, insumos, procedimentos), tornando pares negativos por vezes lexicalmente próximos do par positivo.</w:t>
      </w:r>
    </w:p>
    <w:p>
      <w:pPr>
        <w:jc w:val="both"/>
      </w:pPr>
      <w:r>
        <w:rPr>
          <w:rFonts w:ascii="Times New Roman" w:hAnsi="Times New Roman"/>
          <w:sz w:val="24"/>
        </w:rPr>
        <w:t>Duas direções de melhoria não exploradas por restrição de tempo são particularmente promissoras à luz dos resultados obtidos: (i) amostragem de negativos difíceis (hard negative mining), selecionando como exemplos negativos as candidatas com maior similaridade de cosseno à pergunta dentre as incorretas, em vez de amostragem aleatória — tende a produzir um classificador mais discriminativo justamente nos casos mais ambíguos; e (ii) fine-tuning parcial das últimas camadas do BERTimbau, em vez de mantê-lo integralmente congelado, permitindo que a representação textual se especialize no vocabulário técnico do domínio.</w:t>
      </w:r>
    </w:p>
    <w:p>
      <w:pPr>
        <w:spacing w:before="160" w:after="120"/>
      </w:pPr>
      <w:r>
        <w:rPr>
          <w:rFonts w:ascii="Times New Roman" w:hAnsi="Times New Roman"/>
          <w:b/>
          <w:sz w:val="24"/>
        </w:rPr>
        <w:t>4.5. Refinamentos Adicionais sem Ganho Significativo</w:t>
      </w:r>
    </w:p>
    <w:p>
      <w:pPr>
        <w:jc w:val="both"/>
      </w:pPr>
      <w:r>
        <w:rPr>
          <w:rFonts w:ascii="Times New Roman" w:hAnsi="Times New Roman"/>
          <w:sz w:val="24"/>
        </w:rPr>
        <w:t>Dois refinamentos foram testados apos o resultado da Secao 4.3, com o objetivo de investigar se ganhos adicionais estariam disponiveis sem alterar a arquitetura ou o backbone congelado. Um ensemble por media ponderada entre a pontuacao do MLP e a similaridade de cosseno bruta piorou monotonicamente o Accuracy@1 conforme o peso do cosseno aumentava (de 0,570, com peso zero, ate 0,503, com pesos iguais), indicando que o classificador treinado ja incorpora a informacao do embedding de forma mais eficaz do que uma combinacao linear simples com o sinal nao-treinado.</w:t>
      </w:r>
    </w:p>
    <w:p>
      <w:pPr>
        <w:jc w:val="both"/>
      </w:pPr>
      <w:r>
        <w:rPr>
          <w:rFonts w:ascii="Times New Roman" w:hAnsi="Times New Roman"/>
          <w:sz w:val="24"/>
        </w:rPr>
        <w:t>Um segundo experimento aplicou hard negative mining, substituindo metade dos negativos de treino, antes amostrados uniformemente ao acaso, pelas candidatas incorretas de maior similaridade de cosseno com a pergunta. O resultado (Accuracy@1 = 0,573; MRR = 0,677) e estatisticamente equivalente ao obtido com amostragem aleatoria (Accuracy@1 = 0,570; MRR = 0,679), nao configurando ganho real. Interpreta-se este resultado nulo como evidencia de que o gargalo de desempenho atual nao esta mais na estrategia de amostragem de negativos, e sim na capacidade representacional do backbone congelado — reforcando o fine-tuning parcial do BERTimbau, discutido na Secao 5, como a direcao mais provavel de ganho adicional.</w:t>
      </w:r>
    </w:p>
    <w:p>
      <w:pPr>
        <w:spacing w:before="240" w:after="120"/>
      </w:pPr>
      <w:r>
        <w:rPr>
          <w:rFonts w:ascii="Times New Roman" w:hAnsi="Times New Roman"/>
          <w:b/>
          <w:sz w:val="24"/>
        </w:rPr>
        <w:t>5. Conclusão</w:t>
      </w:r>
    </w:p>
    <w:p>
      <w:pPr>
        <w:jc w:val="both"/>
      </w:pPr>
      <w:r>
        <w:rPr>
          <w:rFonts w:ascii="Times New Roman" w:hAnsi="Times New Roman"/>
          <w:i/>
          <w:color w:val="808080"/>
          <w:sz w:val="22"/>
        </w:rPr>
        <w:t>[A preencher — retomar objetivo, sintetizar a viabilidade da abordagem (BERTimbau congelado + MLP de classificação de pares supera substancialmente tanto o acaso quanto um baseline de similaridade pura, numa tarefa real de seleção de resposta) e limitações (truncamento de texto em 256 tokens; ausência de fine-tuning do BERTimbau; negative sampling aleatório). Trabalhos futuros: hard negative mining, fine-tuning parcial do BERTimbau, comparação com modelos de re-ranking baseados em cross-encoder.]</w:t>
      </w:r>
    </w:p>
    <w:p>
      <w:pPr>
        <w:spacing w:before="240" w:after="120"/>
      </w:pPr>
      <w:r>
        <w:rPr>
          <w:rFonts w:ascii="Times New Roman" w:hAnsi="Times New Roman"/>
          <w:b/>
          <w:sz w:val="24"/>
        </w:rPr>
        <w:t>Referências</w:t>
      </w:r>
    </w:p>
    <w:p>
      <w:pPr>
        <w:jc w:val="both"/>
      </w:pPr>
      <w:r>
        <w:rPr>
          <w:rFonts w:ascii="Times New Roman" w:hAnsi="Times New Roman"/>
          <w:i/>
          <w:color w:val="808080"/>
          <w:sz w:val="22"/>
        </w:rPr>
        <w:t>[A preencher no formato ABNT/SBC — incluir, no mínimo: MilkQA (Amaral et al., 2018, arXiv:1801.03460), BERTimbau (Souza, Nogueira e Lotufo, 2020), BERT (Devlin et al., 2019), InferSent (Conneau et al., 2017), Hugging Face Transformers/Datasets (Wolf et al., 2020), PyTorch (Paszke et al., 2019).]</w:t>
      </w:r>
    </w:p>
    <w:sectPr w:rsidR="00FC693F" w:rsidRPr="0006063C" w:rsidSect="00034616">
      <w:type w:val="continuous"/>
      <w:pgSz w:w="11906" w:h="16838"/>
      <w:pgMar w:top="1417" w:right="992" w:bottom="1417" w:left="992" w:header="720" w:footer="720" w:gutter="0"/>
      <w:cols w:space="19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