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Seleção de Resposta em Perguntas de Produtores Rurais: Um Estudo com BERTimbau sobre o Dataset MilkQA</w:t>
      </w:r>
    </w:p>
    <w:p>
      <w:pPr>
        <w:jc w:val="center"/>
      </w:pPr>
      <w:r>
        <w:rPr>
          <w:rFonts w:ascii="Times New Roman" w:hAnsi="Times New Roman"/>
          <w:sz w:val="24"/>
        </w:rPr>
        <w:t>Frederico Botelho Martins</w:t>
      </w:r>
    </w:p>
    <w:p>
      <w:pPr>
        <w:spacing w:after="280"/>
        <w:jc w:val="center"/>
      </w:pPr>
      <w:r>
        <w:rPr>
          <w:rFonts w:ascii="Times New Roman" w:hAnsi="Times New Roman"/>
          <w:i/>
          <w:sz w:val="22"/>
        </w:rPr>
        <w:t>Universidade Federal da Paraíba (UFPB), Processamento de Linguagem Natural, Prof. Dr. Yuri Malheiros, Período 2026.1</w:t>
      </w:r>
    </w:p>
    <w:p>
      <w:pPr>
        <w:spacing w:before="120" w:after="120"/>
      </w:pPr>
      <w:r>
        <w:rPr>
          <w:rFonts w:ascii="Times New Roman" w:hAnsi="Times New Roman"/>
          <w:b/>
          <w:sz w:val="24"/>
        </w:rPr>
        <w:t>Resumo</w:t>
      </w:r>
    </w:p>
    <w:p>
      <w:pPr>
        <w:jc w:val="both"/>
      </w:pPr>
      <w:r>
        <w:rPr>
          <w:rFonts w:ascii="Times New Roman" w:hAnsi="Times New Roman"/>
          <w:i w:val="0"/>
          <w:color w:val="000000"/>
          <w:sz w:val="24"/>
        </w:rPr>
        <w:t>Este trabalho aborda a seleção de resposta (answer selection) sobre o MilkQA, dataset real de perguntas e respostas do atendimento ao produtor rural da Embrapa Gado de Leite. Seis configurações foram comparadas, do TF-IDF clássico ao fine-tuning parcial do BERTimbau, passando por um bi-encoder congelado, um Cross-Encoder com self-attention conjunta sobre o par, uma fusão híbrida BERTimbau+BM25 e um pipeline multi-estágio de filtragem e reranking. Todas foram validadas por Accuracy@1 e MRR nos splits oficiais. O bi-encoder congelado atinge Accuracy@1 de 0,570; a fusão híbrida eleva esse resultado a 0,663 sem ajustar pesos do BERTimbau; e o fine-tuning parcial, com dado suficiente, obtém o melhor resultado (Accuracy@1 = 0,690; MRR = 0,782). Os resultados mostram que sinal lexical explícito e volume de dado de treino pesam tanto quanto a escolha arquitetural.</w:t>
      </w:r>
    </w:p>
    <w:p>
      <w:pPr>
        <w:spacing w:before="200" w:after="120"/>
      </w:pPr>
      <w:r>
        <w:rPr>
          <w:rFonts w:ascii="Times New Roman" w:hAnsi="Times New Roman"/>
          <w:b/>
          <w:sz w:val="24"/>
        </w:rPr>
        <w:t>Abstract</w:t>
      </w:r>
    </w:p>
    <w:p>
      <w:pPr>
        <w:jc w:val="both"/>
      </w:pPr>
      <w:r>
        <w:rPr>
          <w:rFonts w:ascii="Times New Roman" w:hAnsi="Times New Roman"/>
          <w:i/>
          <w:color w:val="808080"/>
          <w:sz w:val="22"/>
        </w:rPr>
        <w:t>This work addresses answer selection on MilkQA, a real dataset of questions and answers from a dairy farming extension service provided by Embrapa Gado de Leite. Six configurations were compared, from classical TF-IDF to partial fine-tuning of BERTimbau, including a frozen bi-encoder, a Cross-Encoder with joint self-attention over the pair, a hybrid BERTimbau+BM25 fusion, and a multi-stage filtering-and-reranking pipeline. All variants were validated by Accuracy@1 and MRR on the official splits. The frozen bi-encoder reaches an Accuracy@1 of 0.570; the hybrid fusion raises this to 0.663 without adjusting BERTimbau's weights; and partial fine-tuning, given sufficient data, achieves the best result (Accuracy@1 = 0.690; MRR = 0.782). The results show that explicit lexical signal and training data volume matter as much as the architectural choice.</w:t>
      </w:r>
    </w:p>
    <w:p/>
    <w:p>
      <w:pPr>
        <w:sectPr>
          <w:pgSz w:w="11906" w:h="16838"/>
          <w:pgMar w:top="1417" w:right="992" w:bottom="1417" w:left="992" w:header="720" w:footer="720" w:gutter="0"/>
          <w:cols/>
          <w:docGrid w:linePitch="360"/>
        </w:sectPr>
      </w:pPr>
    </w:p>
    <w:p>
      <w:pPr>
        <w:spacing w:before="240" w:after="120"/>
      </w:pPr>
      <w:r>
        <w:rPr>
          <w:rFonts w:ascii="Times New Roman" w:hAnsi="Times New Roman"/>
          <w:b/>
          <w:sz w:val="24"/>
        </w:rPr>
        <w:t>1. Introdução</w:t>
      </w:r>
    </w:p>
    <w:p>
      <w:pPr>
        <w:jc w:val="both"/>
      </w:pPr>
      <w:r>
        <w:rPr>
          <w:rFonts w:ascii="Times New Roman" w:hAnsi="Times New Roman"/>
          <w:sz w:val="24"/>
        </w:rPr>
        <w:t>Serviços de extensão rural prestam suporte técnico especializado a produtores, respondendo dúvidas sobre manejo, sanidade animal, nutrição e produção. No Brasil, iniciativas como o atendimento ao consumidor da Embrapa Gado de Leite processam milhares de perguntas de produtores ao longo dos anos, elaboradas por especialistas e frequentemente aplicáveis a múltiplos produtores com dúvidas semelhantes. Entretanto, esse atendimento depende de resposta manual e individualizada, um modelo que não escala: cada nova pergunta, mesmo quando semanticamente equivalente a uma já respondida, demanda novo trabalho especializado.</w:t>
      </w:r>
    </w:p>
    <w:p>
      <w:pPr>
        <w:jc w:val="both"/>
      </w:pPr>
      <w:r>
        <w:rPr>
          <w:rFonts w:ascii="Times New Roman" w:hAnsi="Times New Roman"/>
          <w:sz w:val="24"/>
        </w:rPr>
        <w:t>Automatizar a seleção de uma resposta já existente e adequada a uma nova pergunta é uma tarefa central de Processamento de Linguagem Natural conhecida como seleção de resposta (answer selection), um caso particular de recuperação de informação semântica. O desafio é agravado, no domínio de pecuária leiteira, por três fatores: (i) as perguntas são escritas por produtores rurais com níveis de literacia heterogêneos, resultando em texto narrativo, informal e por vezes gramaticalmente irregular; (ii) o vocabulário técnico (nomes de doenças, insumos, procedimentos) é compartilhado entre respostas de assuntos distintos, tornando a distinção entre candidatas corretas e incorretas mais sutil do que a simples similaridade lexical; e (iii) não há, diferentemente de domínios genéricos, grandes corpora anotados publicamente disponíveis para o português nesse domínio específico.</w:t>
      </w:r>
    </w:p>
    <w:p>
      <w:pPr>
        <w:jc w:val="both"/>
      </w:pPr>
      <w:r>
        <w:rPr>
          <w:rFonts w:ascii="Times New Roman" w:hAnsi="Times New Roman"/>
          <w:sz w:val="24"/>
        </w:rPr>
        <w:t>Este trabalho tem como motivação demonstrar que um pipeline computacionalmente modesto (um modelo de linguagem pré-treinado, BERTimbau, somado a um classificador leve) é capaz de superar substancialmente tanto o acaso quanto uma abordagem ingênua de similaridade vetorial nessa tarefa, sem exigir infraestrutura de treinamento em larga escala. A escolha do MilkQA como base de dados também é motivada pela escassez de recursos de PLN em português voltados ao agronegócio: dados reais e anotados sobre pecuária em português são raros, e o MilkQA, coletado ao longo de quase uma década de atendimento real da Embrapa, é um dos poucos recursos públicos desse tipo.</w:t>
      </w:r>
    </w:p>
    <w:p>
      <w:pPr>
        <w:jc w:val="both"/>
      </w:pPr>
      <w:r>
        <w:rPr>
          <w:rFonts w:ascii="Times New Roman" w:hAnsi="Times New Roman"/>
          <w:sz w:val="24"/>
        </w:rPr>
        <w:t>As contribuições deste trabalho são: (i) a implementação e avaliação de um classificador de pares pergunta-resposta sobre embeddings BERTimbau, com validação cruzada honesta sobre os splits oficiais do MilkQA; (ii) uma série de experimentos de ablação (ensemble com similaridade de cosseno, hard negative mining, fine-tuning parcial do backbone) que isolam a contribuição de cada componente, incluindo resultados negativos reportados com o mesmo rigor dos positivos; e (iii) a demonstração de que uma limitação computacional pode mascarar o verdadeiro potencial de uma técnica: a primeira tentativa de fine-tuning, com dado insuficiente, parecia inferior à alternativa mais simples, e só a repetição do experimento em escala adequada revelou seu benefício real; e (iv) a demonstração de um pipeline multi-estágio que combina filtragem lexical (BM25) e ranqueamento denso (Cross-Encoder), capaz de reduzir em até 80% o custo computacional de inferência mantendo precisão competitiva.</w:t>
      </w:r>
    </w:p>
    <w:p>
      <w:r>
        <w:rPr>
          <w:b w:val="0"/>
          <w:i w:val="0"/>
        </w:rPr>
        <w:t>A pergunta de pesquisa deste trabalho é: até que ponto diferentes estratégias de combinação entre sinal lexical clássico e representações neurais pré-treinadas, congeladas, fundidas ou ajustadas por fine-tuning, afetam o desempenho e o custo computacional da seleção de resposta em um domínio técnico de baixo recurso como a pecuária leiteira em português?</w:t>
      </w:r>
    </w:p>
    <w:p>
      <w:r>
        <w:rPr>
          <w:b w:val="0"/>
          <w:i w:val="0"/>
        </w:rPr>
        <w:t>Este artigo está organizado da seguinte forma: a Seção 2 revisa os trabalhos relacionados; a Seção 3 descreve a base de dados e a metodologia das seis variantes avaliadas; a Seção 4 apresenta os resultados, a análise de erros e as limitações; e a Seção 5 conclui com a resposta à pergunta de pesquisa, as contribuições confirmadas e os trabalhos futuros.</w:t>
      </w:r>
    </w:p>
    <w:p>
      <w:pPr>
        <w:spacing w:before="240" w:after="120"/>
      </w:pPr>
      <w:r>
        <w:rPr>
          <w:rFonts w:ascii="Times New Roman" w:hAnsi="Times New Roman"/>
          <w:b/>
          <w:sz w:val="24"/>
        </w:rPr>
        <w:t>2. Trabalhos Relacionados</w:t>
      </w:r>
    </w:p>
    <w:p>
      <w:r>
        <w:t>O MilkQA foi introduzido por Criscuolo et al. (2018) como um dataset real de seleção de resposta para o domínio de pecuária leiteira, avaliado pelos próprios autores com baselines simples e arquiteturas CNN treinadas do zero: dos quatro modelos testados, apenas um obteve resultado razoável, a alto custo computacional, o que os autores atribuem à dificuldade genuína da tarefa. Este trabalho retoma o mesmo dataset, mas substitui as CNNs por representações do BERTimbau (Souza, Nogueira e Lotufo, 2020), modelo BERT (Devlin et al., 2019) pré-treinado para o português, testado tanto congelado quanto com fine-tuning parcial.</w:t>
      </w:r>
    </w:p>
    <w:p>
      <w:r>
        <w:t>Na literatura de seleção de resposta baseada em BERT, Mozafari et al. (2019), no método BAS, aplicaram fine-tuning completo do BERT sobre os datasets TrecQA e WikiQA (em inglês), obtendo ganhos de até 13,1% e 18,7% sobre o estado da arte anterior; já Li et al. (2019), no BERTSel, adaptaram o BERT para lidar com a grande variação de comprimento entre pergunta e candidatas, obtendo resultados de estado da arte em cinco datasets de QA em inglês. Este trabalho se diferencia de ambos ao testar fine-tuning parcial (apenas a última camada do encoder) em vez de completo, por restrição computacional em CPU sem GPU dedicada, e ao comparar explicitamente essa variante contra a versão congelada, isolando o efeito do ajuste de pesos.</w:t>
      </w:r>
    </w:p>
    <w:p>
      <w:r>
        <w:t>A construção do vetor de features de pares [q, a, |q−a|, q*a], usada neste trabalho para combinar o embedding da pergunta e da candidata antes do classificador, segue diretamente a proposta do InferSent (Conneau et al., 2017) para representações de sentença de propósito geral. O baseline de similaridade de cosseno pura, usado como piso de comparação, é motivado pela linha de trabalho do Sentence-BERT (Reimers e Gurevych, 2019), que ajusta o BERT via rede siamesa para produzir embeddings diretamente comparáveis por similaridade, trade-off de custo computacional que este trabalho explora de forma inversa, testando se um classificador leve sobre embeddings não ajustados consegue superar essa comparação direta.</w:t>
      </w:r>
    </w:p>
    <w:p>
      <w:r>
        <w:t>Fora do português, iniciativas recentes aplicam modelos de linguagem de grande porte ao domínio agrícola: o AgriLLM (Didwania et al., 2024) ajusta LLMs de larga escala sobre cerca de 4 milhões de consultas reais de agricultores indianos; o Agribot (Jain et al., 2025) combina embeddings de sentença com extração de entidades, elevando a acurácia de 56% (embeddings puros) para 86% após incorporar entidades e eliminar sinônimos; e o Krishi Sathi (Vijayvargia et al., 2025) implementa um pipeline de Retrieval-Augmented Generation com reconhecimento de intenção multi-turno, atingindo 97,53% de acurácia. Esses trabalhos usam datasets de escala muito maior (até três ordens de magnitude) e modelos generativos de alto custo computacional; este projeto prioriza, deliberadamente, um classificador leve e reproduzível em hardware comum, alinhado ao cenário de recursos limitados de uma aplicação real de gestão de fazendas leiteiras em produção.</w:t>
      </w:r>
    </w:p>
    <w:p>
      <w:r>
        <w:rPr>
          <w:b w:val="0"/>
          <w:i w:val="0"/>
        </w:rPr>
        <w:t>A busca por trabalhos relacionados foi conduzida no Google Scholar e no arXiv, combinando termos como answer selection, BERT answer selection, MilkQA, question answering agriculture e LLM farmer queries. Não houve restrição de período para os fundamentos metodológicos citados (Salton, Wong e Yang, 1975; Devlin et al., 2019), mas os trabalhos de seleção de resposta baseada em Transformer e de PLN aplicado ao agronegócio foram priorizados no intervalo de 2017 a 2025, este último por ser uma área de aplicação ainda emergente, concentrada nos últimos dois anos.</w:t>
      </w:r>
    </w:p>
    <w:p>
      <w:r>
        <w:rPr>
          <w:b w:val="0"/>
          <w:i w:val="0"/>
        </w:rPr>
        <w:t>Tabela 1. Síntese comparativa dos trabalhos relacionados.</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r>
              <w:rPr>
                <w:sz w:val="14"/>
              </w:rPr>
              <w:t>Trabalho</w:t>
            </w:r>
          </w:p>
        </w:tc>
        <w:tc>
          <w:tcPr>
            <w:tcW w:type="dxa" w:w="2480"/>
          </w:tcPr>
          <w:p>
            <w:r>
              <w:rPr>
                <w:sz w:val="14"/>
              </w:rPr>
              <w:t>Técnica</w:t>
            </w:r>
          </w:p>
        </w:tc>
        <w:tc>
          <w:tcPr>
            <w:tcW w:type="dxa" w:w="2480"/>
          </w:tcPr>
          <w:p>
            <w:r>
              <w:rPr>
                <w:sz w:val="14"/>
              </w:rPr>
              <w:t>Resultado</w:t>
            </w:r>
          </w:p>
        </w:tc>
        <w:tc>
          <w:tcPr>
            <w:tcW w:type="dxa" w:w="2480"/>
          </w:tcPr>
          <w:p>
            <w:r>
              <w:rPr>
                <w:sz w:val="14"/>
              </w:rPr>
              <w:t>Diferença para este projeto</w:t>
            </w:r>
          </w:p>
        </w:tc>
      </w:tr>
      <w:tr>
        <w:tc>
          <w:tcPr>
            <w:tcW w:type="dxa" w:w="2480"/>
          </w:tcPr>
          <w:p>
            <w:r>
              <w:rPr>
                <w:sz w:val="14"/>
              </w:rPr>
              <w:t>MilkQA (Criscuolo et al., 2018)</w:t>
            </w:r>
          </w:p>
        </w:tc>
        <w:tc>
          <w:tcPr>
            <w:tcW w:type="dxa" w:w="2480"/>
          </w:tcPr>
          <w:p>
            <w:r>
              <w:rPr>
                <w:sz w:val="14"/>
              </w:rPr>
              <w:t>CNNs para ranquear 50 candidatas</w:t>
            </w:r>
          </w:p>
        </w:tc>
        <w:tc>
          <w:tcPr>
            <w:tcW w:type="dxa" w:w="2480"/>
          </w:tcPr>
          <w:p>
            <w:r>
              <w:rPr>
                <w:sz w:val="14"/>
              </w:rPr>
              <w:t>1 de 4 modelos com resultado razoável</w:t>
            </w:r>
          </w:p>
        </w:tc>
        <w:tc>
          <w:tcPr>
            <w:tcW w:type="dxa" w:w="2480"/>
          </w:tcPr>
          <w:p>
            <w:r>
              <w:rPr>
                <w:sz w:val="14"/>
              </w:rPr>
              <w:t>Usa BERTimbau pré-treinado em vez de CNN do zero</w:t>
            </w:r>
          </w:p>
        </w:tc>
      </w:tr>
      <w:tr>
        <w:tc>
          <w:tcPr>
            <w:tcW w:type="dxa" w:w="2480"/>
          </w:tcPr>
          <w:p>
            <w:r>
              <w:rPr>
                <w:sz w:val="14"/>
              </w:rPr>
              <w:t>BERT (Devlin et al., 2019)</w:t>
            </w:r>
          </w:p>
        </w:tc>
        <w:tc>
          <w:tcPr>
            <w:tcW w:type="dxa" w:w="2480"/>
          </w:tcPr>
          <w:p>
            <w:r>
              <w:rPr>
                <w:sz w:val="14"/>
              </w:rPr>
              <w:t>Transformer bidirecional, MLM + NSP</w:t>
            </w:r>
          </w:p>
        </w:tc>
        <w:tc>
          <w:tcPr>
            <w:tcW w:type="dxa" w:w="2480"/>
          </w:tcPr>
          <w:p>
            <w:r>
              <w:rPr>
                <w:sz w:val="14"/>
              </w:rPr>
              <w:t>Estado da arte em 11 tarefas de PLN</w:t>
            </w:r>
          </w:p>
        </w:tc>
        <w:tc>
          <w:tcPr>
            <w:tcW w:type="dxa" w:w="2480"/>
          </w:tcPr>
          <w:p>
            <w:r>
              <w:rPr>
                <w:sz w:val="14"/>
              </w:rPr>
              <w:t>Arquitetura fundacional do BERTimbau usado aqui</w:t>
            </w:r>
          </w:p>
        </w:tc>
      </w:tr>
      <w:tr>
        <w:tc>
          <w:tcPr>
            <w:tcW w:type="dxa" w:w="2480"/>
          </w:tcPr>
          <w:p>
            <w:r>
              <w:rPr>
                <w:sz w:val="14"/>
              </w:rPr>
              <w:t>BAS (Mozafari et al., 2019)</w:t>
            </w:r>
          </w:p>
        </w:tc>
        <w:tc>
          <w:tcPr>
            <w:tcW w:type="dxa" w:w="2480"/>
          </w:tcPr>
          <w:p>
            <w:r>
              <w:rPr>
                <w:sz w:val="14"/>
              </w:rPr>
              <w:t>Fine-tuning completo do BERT</w:t>
            </w:r>
          </w:p>
        </w:tc>
        <w:tc>
          <w:tcPr>
            <w:tcW w:type="dxa" w:w="2480"/>
          </w:tcPr>
          <w:p>
            <w:r>
              <w:rPr>
                <w:sz w:val="14"/>
              </w:rPr>
              <w:t>+13,1% (QA) e +18,7% (CQA)</w:t>
            </w:r>
          </w:p>
        </w:tc>
        <w:tc>
          <w:tcPr>
            <w:tcW w:type="dxa" w:w="2480"/>
          </w:tcPr>
          <w:p>
            <w:r>
              <w:rPr>
                <w:sz w:val="14"/>
              </w:rPr>
              <w:t>Testa fine-tuning parcial (1 camada), compara com versão congelada</w:t>
            </w:r>
          </w:p>
        </w:tc>
      </w:tr>
      <w:tr>
        <w:tc>
          <w:tcPr>
            <w:tcW w:type="dxa" w:w="2480"/>
          </w:tcPr>
          <w:p>
            <w:r>
              <w:rPr>
                <w:sz w:val="14"/>
              </w:rPr>
              <w:t>BERTSel (Li et al., 2019)</w:t>
            </w:r>
          </w:p>
        </w:tc>
        <w:tc>
          <w:tcPr>
            <w:tcW w:type="dxa" w:w="2480"/>
          </w:tcPr>
          <w:p>
            <w:r>
              <w:rPr>
                <w:sz w:val="14"/>
              </w:rPr>
              <w:t>BERT p/ candidatas de comprimento variável</w:t>
            </w:r>
          </w:p>
        </w:tc>
        <w:tc>
          <w:tcPr>
            <w:tcW w:type="dxa" w:w="2480"/>
          </w:tcPr>
          <w:p>
            <w:r>
              <w:rPr>
                <w:sz w:val="14"/>
              </w:rPr>
              <w:t>Estado da arte em 5 datasets</w:t>
            </w:r>
          </w:p>
        </w:tc>
        <w:tc>
          <w:tcPr>
            <w:tcW w:type="dxa" w:w="2480"/>
          </w:tcPr>
          <w:p>
            <w:r>
              <w:rPr>
                <w:sz w:val="14"/>
              </w:rPr>
              <w:t>Não trata português nem perguntas mais curtas que respostas</w:t>
            </w:r>
          </w:p>
        </w:tc>
      </w:tr>
      <w:tr>
        <w:tc>
          <w:tcPr>
            <w:tcW w:type="dxa" w:w="2480"/>
          </w:tcPr>
          <w:p>
            <w:r>
              <w:rPr>
                <w:sz w:val="14"/>
              </w:rPr>
              <w:t>BERTimbau (Souza et al., 2020)</w:t>
            </w:r>
          </w:p>
        </w:tc>
        <w:tc>
          <w:tcPr>
            <w:tcW w:type="dxa" w:w="2480"/>
          </w:tcPr>
          <w:p>
            <w:r>
              <w:rPr>
                <w:sz w:val="14"/>
              </w:rPr>
              <w:t>BERT pré-treinado do zero para PT-BR</w:t>
            </w:r>
          </w:p>
        </w:tc>
        <w:tc>
          <w:tcPr>
            <w:tcW w:type="dxa" w:w="2480"/>
          </w:tcPr>
          <w:p>
            <w:r>
              <w:rPr>
                <w:sz w:val="14"/>
              </w:rPr>
              <w:t>Estado da arte em PLN-PT à época</w:t>
            </w:r>
          </w:p>
        </w:tc>
        <w:tc>
          <w:tcPr>
            <w:tcW w:type="dxa" w:w="2480"/>
          </w:tcPr>
          <w:p>
            <w:r>
              <w:rPr>
                <w:sz w:val="14"/>
              </w:rPr>
              <w:t>É o backbone usado em todas as variantes deste trabalho</w:t>
            </w:r>
          </w:p>
        </w:tc>
      </w:tr>
      <w:tr>
        <w:tc>
          <w:tcPr>
            <w:tcW w:type="dxa" w:w="2480"/>
          </w:tcPr>
          <w:p>
            <w:r>
              <w:rPr>
                <w:sz w:val="14"/>
              </w:rPr>
              <w:t>InferSent (Conneau et al., 2017)</w:t>
            </w:r>
          </w:p>
        </w:tc>
        <w:tc>
          <w:tcPr>
            <w:tcW w:type="dxa" w:w="2480"/>
          </w:tcPr>
          <w:p>
            <w:r>
              <w:rPr>
                <w:sz w:val="14"/>
              </w:rPr>
              <w:t>Features de par [u, v, |u−v|, u*v]</w:t>
            </w:r>
          </w:p>
        </w:tc>
        <w:tc>
          <w:tcPr>
            <w:tcW w:type="dxa" w:w="2480"/>
          </w:tcPr>
          <w:p>
            <w:r>
              <w:rPr>
                <w:sz w:val="14"/>
              </w:rPr>
              <w:t>Competitivo em transferência</w:t>
            </w:r>
          </w:p>
        </w:tc>
        <w:tc>
          <w:tcPr>
            <w:tcW w:type="dxa" w:w="2480"/>
          </w:tcPr>
          <w:p>
            <w:r>
              <w:rPr>
                <w:sz w:val="14"/>
              </w:rPr>
              <w:t>Base do vetor de par usado no bi-encoder deste trabalho</w:t>
            </w:r>
          </w:p>
        </w:tc>
      </w:tr>
      <w:tr>
        <w:tc>
          <w:tcPr>
            <w:tcW w:type="dxa" w:w="2480"/>
          </w:tcPr>
          <w:p>
            <w:r>
              <w:rPr>
                <w:sz w:val="14"/>
              </w:rPr>
              <w:t>Sentence-BERT (Reimers e Gurevych, 2019)</w:t>
            </w:r>
          </w:p>
        </w:tc>
        <w:tc>
          <w:tcPr>
            <w:tcW w:type="dxa" w:w="2480"/>
          </w:tcPr>
          <w:p>
            <w:r>
              <w:rPr>
                <w:sz w:val="14"/>
              </w:rPr>
              <w:t>Rede siamesa p/ embeddings comparáveis</w:t>
            </w:r>
          </w:p>
        </w:tc>
        <w:tc>
          <w:tcPr>
            <w:tcW w:type="dxa" w:w="2480"/>
          </w:tcPr>
          <w:p>
            <w:r>
              <w:rPr>
                <w:sz w:val="14"/>
              </w:rPr>
              <w:t>Custo reduzido, leve perda de qualidade</w:t>
            </w:r>
          </w:p>
        </w:tc>
        <w:tc>
          <w:tcPr>
            <w:tcW w:type="dxa" w:w="2480"/>
          </w:tcPr>
          <w:p>
            <w:r>
              <w:rPr>
                <w:sz w:val="14"/>
              </w:rPr>
              <w:t>Motivou o baseline de cosseno puro testado aqui</w:t>
            </w:r>
          </w:p>
        </w:tc>
      </w:tr>
      <w:tr>
        <w:tc>
          <w:tcPr>
            <w:tcW w:type="dxa" w:w="2480"/>
          </w:tcPr>
          <w:p>
            <w:r>
              <w:rPr>
                <w:sz w:val="14"/>
              </w:rPr>
              <w:t>AgriLLM (Didwania et al., 2024)</w:t>
            </w:r>
          </w:p>
        </w:tc>
        <w:tc>
          <w:tcPr>
            <w:tcW w:type="dxa" w:w="2480"/>
          </w:tcPr>
          <w:p>
            <w:r>
              <w:rPr>
                <w:sz w:val="14"/>
              </w:rPr>
              <w:t>Fine-tuning de LLM de larga escala</w:t>
            </w:r>
          </w:p>
        </w:tc>
        <w:tc>
          <w:tcPr>
            <w:tcW w:type="dxa" w:w="2480"/>
          </w:tcPr>
          <w:p>
            <w:r>
              <w:rPr>
                <w:sz w:val="14"/>
              </w:rPr>
              <w:t>Respostas contextuais em tempo real</w:t>
            </w:r>
          </w:p>
        </w:tc>
        <w:tc>
          <w:tcPr>
            <w:tcW w:type="dxa" w:w="2480"/>
          </w:tcPr>
          <w:p>
            <w:r>
              <w:rPr>
                <w:sz w:val="14"/>
              </w:rPr>
              <w:t>Dataset ~1.500x maior; este projeto usa classificador leve</w:t>
            </w:r>
          </w:p>
        </w:tc>
      </w:tr>
      <w:tr>
        <w:tc>
          <w:tcPr>
            <w:tcW w:type="dxa" w:w="2480"/>
          </w:tcPr>
          <w:p>
            <w:r>
              <w:rPr>
                <w:sz w:val="14"/>
              </w:rPr>
              <w:t>Agribot (Jain et al., 2025)</w:t>
            </w:r>
          </w:p>
        </w:tc>
        <w:tc>
          <w:tcPr>
            <w:tcW w:type="dxa" w:w="2480"/>
          </w:tcPr>
          <w:p>
            <w:r>
              <w:rPr>
                <w:sz w:val="14"/>
              </w:rPr>
              <w:t>Embeddings + extração de entidades</w:t>
            </w:r>
          </w:p>
        </w:tc>
        <w:tc>
          <w:tcPr>
            <w:tcW w:type="dxa" w:w="2480"/>
          </w:tcPr>
          <w:p>
            <w:r>
              <w:rPr>
                <w:sz w:val="14"/>
              </w:rPr>
              <w:t>56% → 86% de acurácia</w:t>
            </w:r>
          </w:p>
        </w:tc>
        <w:tc>
          <w:tcPr>
            <w:tcW w:type="dxa" w:w="2480"/>
          </w:tcPr>
          <w:p>
            <w:r>
              <w:rPr>
                <w:sz w:val="14"/>
              </w:rPr>
              <w:t>Foco em inglês/hindi; sem comparação sistemática congelado/fine-tuning</w:t>
            </w:r>
          </w:p>
        </w:tc>
      </w:tr>
      <w:tr>
        <w:tc>
          <w:tcPr>
            <w:tcW w:type="dxa" w:w="2480"/>
          </w:tcPr>
          <w:p>
            <w:r>
              <w:rPr>
                <w:sz w:val="14"/>
              </w:rPr>
              <w:t>Krishi Sathi (Vijayvargia et al., 2025)</w:t>
            </w:r>
          </w:p>
        </w:tc>
        <w:tc>
          <w:tcPr>
            <w:tcW w:type="dxa" w:w="2480"/>
          </w:tcPr>
          <w:p>
            <w:r>
              <w:rPr>
                <w:sz w:val="14"/>
              </w:rPr>
              <w:t>RAG com LLM generativo</w:t>
            </w:r>
          </w:p>
        </w:tc>
        <w:tc>
          <w:tcPr>
            <w:tcW w:type="dxa" w:w="2480"/>
          </w:tcPr>
          <w:p>
            <w:r>
              <w:rPr>
                <w:sz w:val="14"/>
              </w:rPr>
              <w:t>97,53% de acurácia</w:t>
            </w:r>
          </w:p>
        </w:tc>
        <w:tc>
          <w:tcPr>
            <w:tcW w:type="dxa" w:w="2480"/>
          </w:tcPr>
          <w:p>
            <w:r>
              <w:rPr>
                <w:sz w:val="14"/>
              </w:rPr>
              <w:t>Alto custo computacional; este projeto prioriza leveza e reprodutibilidade</w:t>
            </w:r>
          </w:p>
        </w:tc>
      </w:tr>
    </w:tbl>
    <w:p>
      <w:r>
        <w:rPr>
          <w:b w:val="0"/>
          <w:i w:val="0"/>
        </w:rPr>
        <w:t>Em síntese, a lacuna que este trabalho ocupa é dupla. Por um lado, o MilkQA e os trabalhos brasileiros correlatos carecem de uma comparação sistemática entre representações lexicais clássicas, bi-encoders neurais, cross-encoders e fusões híbridas sobre o mesmo dataset e protocolo de avaliação: a maioria dos trabalhos citados testa uma única arquitetura, sem isolar o efeito de cada componente (volume de dado, arquitetura, sinal lexical) separadamente. Por outro lado, os trabalhos internacionais de PLN aplicado ao agronegócio (AgriLLM, Agribot, Krishi Sathi) operam em escala e custo computacional incompatíveis com o cenário de um produtor rural brasileiro médio, priorizando modelos generativos de grande porte em vez de classificadores leves e reproduzíveis em hardware comum. Este trabalho preenche as duas lacunas simultaneamente: uma comparação controlada de seis arquiteturas sobre o mesmo protocolo de avaliação, e uma escolha metodológica deliberada por soluções computacionalmente modestas, alinhadas a um cenário de recursos limitados.</w:t>
      </w:r>
    </w:p>
    <w:p>
      <w:pPr>
        <w:spacing w:before="240" w:after="120"/>
      </w:pPr>
      <w:r>
        <w:rPr>
          <w:rFonts w:ascii="Times New Roman" w:hAnsi="Times New Roman"/>
          <w:b/>
          <w:sz w:val="24"/>
        </w:rPr>
        <w:t>3. Metodologia</w:t>
      </w:r>
    </w:p>
    <w:p>
      <w:pPr>
        <w:spacing w:before="160" w:after="120"/>
      </w:pPr>
      <w:r>
        <w:rPr>
          <w:rFonts w:ascii="Times New Roman" w:hAnsi="Times New Roman"/>
          <w:b/>
          <w:sz w:val="24"/>
        </w:rPr>
        <w:t>3.1. Base de Dados</w:t>
      </w:r>
    </w:p>
    <w:p>
      <w:pPr>
        <w:jc w:val="both"/>
      </w:pPr>
      <w:r>
        <w:rPr>
          <w:rFonts w:ascii="Times New Roman" w:hAnsi="Times New Roman"/>
          <w:sz w:val="24"/>
        </w:rPr>
        <w:t>Foi utilizado o MilkQA (Criscuolo et al., 2018), dataset público de perguntas e respostas do domínio de pecuária leiteira, coletado pelo serviço de atendimento ao produtor da Embrapa Gado de Leite entre 2003 e 2012 e publicado pelo NILC/USP. O dataset contém 2.657 pares de pergunta-resposta: as perguntas foram escritas por produtores rurais reais, com níveis de literacia heterogêneos, e as respostas foram elaboradas por especialistas da Embrapa. O dataset é distribuído em três partições oficiais (treino, com 2.307 perguntas; validação, com 50; e teste, com 300), cada uma associando uma pergunta a um documento de resposta correto (positive-doc-id) dentro de um conjunto de 50 documentos candidatos (candidates-ids), formato característico de tarefas de seleção de resposta (answer selection).</w:t>
      </w:r>
    </w:p>
    <w:p>
      <w:pPr>
        <w:jc w:val="both"/>
      </w:pPr>
      <w:r>
        <w:rPr>
          <w:rFonts w:ascii="Times New Roman" w:hAnsi="Times New Roman"/>
          <w:sz w:val="24"/>
        </w:rPr>
        <w:t>As perguntas têm em média 198 palavras (máximo de 682), com estrutura frequentemente narrativa e informal, característica de textos escritos por autores não especialistas descrevendo um problema prático antes de formular a pergunta propriamente dita.</w:t>
      </w:r>
    </w:p>
    <w:p>
      <w:pPr>
        <w:spacing w:before="160" w:after="120"/>
      </w:pPr>
      <w:r>
        <w:rPr>
          <w:rFonts w:ascii="Times New Roman" w:hAnsi="Times New Roman"/>
          <w:b/>
          <w:sz w:val="24"/>
        </w:rPr>
        <w:t>3.2. Extração de Características</w:t>
      </w:r>
    </w:p>
    <w:p>
      <w:pPr>
        <w:jc w:val="both"/>
      </w:pPr>
      <w:r>
        <w:rPr>
          <w:rFonts w:ascii="Times New Roman" w:hAnsi="Times New Roman"/>
          <w:sz w:val="24"/>
        </w:rPr>
        <w:t>Cada pergunta e cada documento de resposta do corpus foram processados pelo BERTimbau (neuralmind/bert-base-portuguese-cased), mantido congelado, gerando embeddings de 768 dimensões via mean pooling sobre a última camada oculta, ponderado pela máscara de atenção. Os textos foram truncados em 256 tokens por restrição de custo computacional em ambiente sem GPU dedicada. Os embeddings foram calculados uma única vez para todo o corpus (2.657 documentos) e todas as perguntas (2.657), e persistidos em disco como dois dicionários indexados por identificador, desacoplando a extração de características, computacionalmente mais custosa (aproximadamente 23 minutos em CPU para os 5.314 textos), do treinamento do classificador, executado repetidamente durante a busca de hiperparâmetros.</w:t>
      </w:r>
    </w:p>
    <w:p>
      <w:pPr>
        <w:spacing w:before="160" w:after="120"/>
      </w:pPr>
      <w:r>
        <w:rPr>
          <w:rFonts w:ascii="Times New Roman" w:hAnsi="Times New Roman"/>
          <w:b/>
          <w:sz w:val="24"/>
        </w:rPr>
        <w:t>3.3. Modelo de Classificação de Pares</w:t>
      </w:r>
    </w:p>
    <w:p>
      <w:pPr>
        <w:jc w:val="both"/>
      </w:pPr>
      <w:r>
        <w:rPr>
          <w:rFonts w:ascii="Times New Roman" w:hAnsi="Times New Roman"/>
          <w:sz w:val="24"/>
        </w:rPr>
        <w:t>Diferentemente de uma tarefa de classificação em categorias fixas, a seleção de resposta exige comparar uma pergunta contra um conjunto variável de candidatas. A abordagem adotada segue o paradigma de classificação de pares, no espírito de representações como InferSent (Conneau et al., 2017): para cada par (pergunta, candidata), os embeddings são combinados em um vetor de características de 3072 dimensões (concatenação do embedding da pergunta, do embedding da candidata, da diferença absoluta elemento a elemento e do produto elemento a elemento entre os dois), e um Perceptron Multicamadas (MLP) com duas camadas ocultas, ativação ReLU e dropout é treinado para prever se o par constitui uma correspondência (rótulo 1) ou não (rótulo 0), com função de perda de entropia cruzada binária.</w:t>
      </w:r>
    </w:p>
    <w:p>
      <w:pPr>
        <w:jc w:val="both"/>
      </w:pPr>
      <w:r>
        <w:rPr>
          <w:rFonts w:ascii="Times New Roman" w:hAnsi="Times New Roman"/>
          <w:sz w:val="24"/>
        </w:rPr>
        <w:t>O conjunto de treino foi construído a partir da totalidade das 2.307 perguntas do conjunto de treino oficial. Para cada pergunta, foi gerado um par positivo (a resposta correta) e oito pares negativos (respostas incorretas amostradas aleatoriamente do próprio conjunto de 50 candidatas daquela pergunta), totalizando 20.763 pares de treino. Uma versão preliminar deste experimento, com subamostra de 800 perguntas e apenas 4 negativos por positivo, foi utilizada para validar a viabilidade da abordagem antes da execução com o conjunto completo; a comparação entre as duas versões é discutida na Seção 4.3.</w:t>
      </w:r>
    </w:p>
    <w:p>
      <w:pPr>
        <w:jc w:val="both"/>
      </w:pPr>
      <w:r>
        <w:rPr>
          <w:rFonts w:ascii="Times New Roman" w:hAnsi="Times New Roman"/>
          <w:sz w:val="24"/>
        </w:rPr>
        <w:t>Na etapa de inferência, para uma pergunta com um conjunto de candidatas, todos os pares (pergunta, candidata) são pontuados pelo modelo e ordenados pela probabilidade de correspondência; a candidata de maior pontuação é a resposta selecionada pelo sistema.</w:t>
      </w:r>
    </w:p>
    <w:p>
      <w:pPr>
        <w:spacing w:before="160" w:after="120"/>
      </w:pPr>
      <w:r>
        <w:rPr>
          <w:rFonts w:ascii="Times New Roman" w:hAnsi="Times New Roman"/>
          <w:b/>
          <w:sz w:val="24"/>
        </w:rPr>
        <w:t>3.4. Busca de Hiperparâmetros e Métricas</w:t>
      </w:r>
    </w:p>
    <w:p>
      <w:pPr>
        <w:jc w:val="both"/>
      </w:pPr>
      <w:r>
        <w:rPr>
          <w:rFonts w:ascii="Times New Roman" w:hAnsi="Times New Roman"/>
          <w:sz w:val="24"/>
        </w:rPr>
        <w:t>Uma busca em grade foi realizada sobre dimensão da camada oculta ({128, 256}), taxa de dropout ({0,2; 0,4}) e taxa de aprendizado ({1×10⁻³; 1×10⁻⁴}), totalizando 8 combinações, cada uma treinada por até 25 épocas com parada antecipada (paciência de 4 épocas) baseada no Mean Reciprocal Rank (MRR) do conjunto de validação oficial (50 perguntas).</w:t>
      </w:r>
    </w:p>
    <w:p>
      <w:pPr>
        <w:jc w:val="both"/>
      </w:pPr>
      <w:r>
        <w:rPr>
          <w:rFonts w:ascii="Times New Roman" w:hAnsi="Times New Roman"/>
          <w:sz w:val="24"/>
        </w:rPr>
        <w:t>Como a tarefa é de ranqueamento, e não de classificação em classes fixas, o F1-macro não se aplica diretamente. Foram utilizadas duas métricas padrão da literatura de recuperação de informação e seleção de resposta: Accuracy@1 (proporção de perguntas em que a resposta correta é ranqueada em primeiro lugar entre as 50 candidatas) e MRR (Mean Reciprocal Rank), a média do inverso da posição em que a resposta correta aparece no ranking.</w:t>
      </w:r>
    </w:p>
    <w:p>
      <w:pPr>
        <w:jc w:val="both"/>
      </w:pPr>
      <w:r>
        <w:rPr>
          <w:rFonts w:ascii="Times New Roman" w:hAnsi="Times New Roman"/>
          <w:sz w:val="24"/>
        </w:rPr>
        <w:t>Para isolar a contribuição do classificador treinado, foi também avaliado um baseline sem qualquer treinamento: ranqueamento das candidatas pela similaridade de cosseno bruta entre o embedding da pergunta e o embedding de cada candidata, calculados diretamente pelo BERTimbau congelado.</w:t>
      </w:r>
    </w:p>
    <w:p>
      <w:pPr>
        <w:spacing w:before="240" w:after="120"/>
      </w:pPr>
      <w:r>
        <w:rPr>
          <w:rFonts w:ascii="Times New Roman" w:hAnsi="Times New Roman"/>
          <w:b/>
          <w:sz w:val="24"/>
        </w:rPr>
        <w:t>4. Resultados</w:t>
      </w:r>
    </w:p>
    <w:p>
      <w:pPr>
        <w:spacing w:before="160" w:after="120"/>
      </w:pPr>
      <w:r>
        <w:rPr>
          <w:rFonts w:ascii="Times New Roman" w:hAnsi="Times New Roman"/>
          <w:b/>
          <w:sz w:val="24"/>
        </w:rPr>
        <w:t>4.1. Busca de Hiperparâmetros</w:t>
      </w:r>
    </w:p>
    <w:p>
      <w:pPr>
        <w:jc w:val="both"/>
      </w:pPr>
      <w:r>
        <w:rPr>
          <w:rFonts w:ascii="Times New Roman" w:hAnsi="Times New Roman"/>
          <w:sz w:val="24"/>
        </w:rPr>
        <w:t>A Tabela 2 apresenta o MRR e o Accuracy@1 de validação para as 8 combinações de hiperparâmetros avaliadas com o conjunto de treino completo. A configuração com dimensão oculta de 128, dropout de 0,4 e taxa de aprendizado de 1×10⁻⁴ obteve o melhor desempenho de validação (MRR = 0,735), embora cinco das oito combinações tenham atingido o mesmo Accuracy@1 de validação (0,64), indicando relativa robustez do modelo à escolha de hiperparâmetros quando treinado com dado suficiente.</w:t>
      </w:r>
    </w:p>
    <w:p>
      <w:pPr>
        <w:spacing w:before="200" w:after="80"/>
        <w:jc w:val="center"/>
      </w:pPr>
      <w:r>
        <w:rPr>
          <w:rFonts w:ascii="Times New Roman" w:hAnsi="Times New Roman"/>
          <w:sz w:val="20"/>
        </w:rPr>
        <w:t>Tabela 2. MRR e Accuracy@1 de validação por combinação de hiperparâmetros (Grid Search, 8 combinações, treino completo, 50 perguntas de validação).</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pPr>
              <w:jc w:val="center"/>
            </w:pPr>
            <w:r>
              <w:rPr>
                <w:rFonts w:ascii="Times New Roman" w:hAnsi="Times New Roman"/>
                <w:b/>
                <w:sz w:val="18"/>
              </w:rPr>
              <w:t>Hidden</w:t>
            </w:r>
          </w:p>
        </w:tc>
        <w:tc>
          <w:tcPr>
            <w:tcW w:type="dxa" w:w="1984"/>
          </w:tcPr>
          <w:p>
            <w:pPr>
              <w:jc w:val="center"/>
            </w:pPr>
            <w:r>
              <w:rPr>
                <w:rFonts w:ascii="Times New Roman" w:hAnsi="Times New Roman"/>
                <w:b/>
                <w:sz w:val="18"/>
              </w:rPr>
              <w:t>Dropout</w:t>
            </w:r>
          </w:p>
        </w:tc>
        <w:tc>
          <w:tcPr>
            <w:tcW w:type="dxa" w:w="1984"/>
          </w:tcPr>
          <w:p>
            <w:pPr>
              <w:jc w:val="center"/>
            </w:pPr>
            <w:r>
              <w:rPr>
                <w:rFonts w:ascii="Times New Roman" w:hAnsi="Times New Roman"/>
                <w:b/>
                <w:sz w:val="18"/>
              </w:rPr>
              <w:t>Learning Rate</w:t>
            </w:r>
          </w:p>
        </w:tc>
        <w:tc>
          <w:tcPr>
            <w:tcW w:type="dxa" w:w="1984"/>
          </w:tcPr>
          <w:p>
            <w:pPr>
              <w:jc w:val="center"/>
            </w:pPr>
            <w:r>
              <w:rPr>
                <w:rFonts w:ascii="Times New Roman" w:hAnsi="Times New Roman"/>
                <w:b/>
                <w:sz w:val="18"/>
              </w:rPr>
              <w:t>MRR (val.)</w:t>
            </w:r>
          </w:p>
        </w:tc>
        <w:tc>
          <w:tcPr>
            <w:tcW w:type="dxa" w:w="1984"/>
          </w:tcPr>
          <w:p>
            <w:pPr>
              <w:jc w:val="center"/>
            </w:pPr>
            <w:r>
              <w:rPr>
                <w:rFonts w:ascii="Times New Roman" w:hAnsi="Times New Roman"/>
                <w:b/>
                <w:sz w:val="18"/>
              </w:rPr>
              <w:t>Acc@1 (val.)</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0,735</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0,734</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0,731</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0,731</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1×10⁻⁴</w:t>
            </w:r>
          </w:p>
        </w:tc>
        <w:tc>
          <w:tcPr>
            <w:tcW w:type="dxa" w:w="1984"/>
          </w:tcPr>
          <w:p>
            <w:pPr>
              <w:jc w:val="center"/>
            </w:pPr>
            <w:r>
              <w:rPr>
                <w:rFonts w:ascii="Times New Roman" w:hAnsi="Times New Roman"/>
                <w:sz w:val="18"/>
              </w:rPr>
              <w:t>0,728</w:t>
            </w:r>
          </w:p>
        </w:tc>
        <w:tc>
          <w:tcPr>
            <w:tcW w:type="dxa" w:w="1984"/>
          </w:tcPr>
          <w:p>
            <w:pPr>
              <w:jc w:val="center"/>
            </w:pPr>
            <w:r>
              <w:rPr>
                <w:rFonts w:ascii="Times New Roman" w:hAnsi="Times New Roman"/>
                <w:sz w:val="18"/>
              </w:rPr>
              <w:t>0,64</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0,726</w:t>
            </w:r>
          </w:p>
        </w:tc>
        <w:tc>
          <w:tcPr>
            <w:tcW w:type="dxa" w:w="1984"/>
          </w:tcPr>
          <w:p>
            <w:pPr>
              <w:jc w:val="center"/>
            </w:pPr>
            <w:r>
              <w:rPr>
                <w:rFonts w:ascii="Times New Roman" w:hAnsi="Times New Roman"/>
                <w:sz w:val="18"/>
              </w:rPr>
              <w:t>0,62</w:t>
            </w:r>
          </w:p>
        </w:tc>
      </w:tr>
      <w:tr>
        <w:tc>
          <w:tcPr>
            <w:tcW w:type="dxa" w:w="1984"/>
          </w:tcPr>
          <w:p>
            <w:pPr>
              <w:jc w:val="center"/>
            </w:pPr>
            <w:r>
              <w:rPr>
                <w:rFonts w:ascii="Times New Roman" w:hAnsi="Times New Roman"/>
                <w:sz w:val="18"/>
              </w:rPr>
              <w:t>128</w:t>
            </w:r>
          </w:p>
        </w:tc>
        <w:tc>
          <w:tcPr>
            <w:tcW w:type="dxa" w:w="1984"/>
          </w:tcPr>
          <w:p>
            <w:pPr>
              <w:jc w:val="center"/>
            </w:pPr>
            <w:r>
              <w:rPr>
                <w:rFonts w:ascii="Times New Roman" w:hAnsi="Times New Roman"/>
                <w:sz w:val="18"/>
              </w:rPr>
              <w:t>0,2</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0,724</w:t>
            </w:r>
          </w:p>
        </w:tc>
        <w:tc>
          <w:tcPr>
            <w:tcW w:type="dxa" w:w="1984"/>
          </w:tcPr>
          <w:p>
            <w:pPr>
              <w:jc w:val="center"/>
            </w:pPr>
            <w:r>
              <w:rPr>
                <w:rFonts w:ascii="Times New Roman" w:hAnsi="Times New Roman"/>
                <w:sz w:val="18"/>
              </w:rPr>
              <w:t>0,62</w:t>
            </w:r>
          </w:p>
        </w:tc>
      </w:tr>
      <w:tr>
        <w:tc>
          <w:tcPr>
            <w:tcW w:type="dxa" w:w="1984"/>
          </w:tcPr>
          <w:p>
            <w:pPr>
              <w:jc w:val="center"/>
            </w:pPr>
            <w:r>
              <w:rPr>
                <w:rFonts w:ascii="Times New Roman" w:hAnsi="Times New Roman"/>
                <w:sz w:val="18"/>
              </w:rPr>
              <w:t>256</w:t>
            </w:r>
          </w:p>
        </w:tc>
        <w:tc>
          <w:tcPr>
            <w:tcW w:type="dxa" w:w="1984"/>
          </w:tcPr>
          <w:p>
            <w:pPr>
              <w:jc w:val="center"/>
            </w:pPr>
            <w:r>
              <w:rPr>
                <w:rFonts w:ascii="Times New Roman" w:hAnsi="Times New Roman"/>
                <w:sz w:val="18"/>
              </w:rPr>
              <w:t>0,4</w:t>
            </w:r>
          </w:p>
        </w:tc>
        <w:tc>
          <w:tcPr>
            <w:tcW w:type="dxa" w:w="1984"/>
          </w:tcPr>
          <w:p>
            <w:pPr>
              <w:jc w:val="center"/>
            </w:pPr>
            <w:r>
              <w:rPr>
                <w:rFonts w:ascii="Times New Roman" w:hAnsi="Times New Roman"/>
                <w:sz w:val="18"/>
              </w:rPr>
              <w:t>1×10⁻³</w:t>
            </w:r>
          </w:p>
        </w:tc>
        <w:tc>
          <w:tcPr>
            <w:tcW w:type="dxa" w:w="1984"/>
          </w:tcPr>
          <w:p>
            <w:pPr>
              <w:jc w:val="center"/>
            </w:pPr>
            <w:r>
              <w:rPr>
                <w:rFonts w:ascii="Times New Roman" w:hAnsi="Times New Roman"/>
                <w:sz w:val="18"/>
              </w:rPr>
              <w:t>0,708</w:t>
            </w:r>
          </w:p>
        </w:tc>
        <w:tc>
          <w:tcPr>
            <w:tcW w:type="dxa" w:w="1984"/>
          </w:tcPr>
          <w:p>
            <w:pPr>
              <w:jc w:val="center"/>
            </w:pPr>
            <w:r>
              <w:rPr>
                <w:rFonts w:ascii="Times New Roman" w:hAnsi="Times New Roman"/>
                <w:sz w:val="18"/>
              </w:rPr>
              <w:t>0,60</w:t>
            </w:r>
          </w:p>
        </w:tc>
      </w:tr>
    </w:tbl>
    <w:p>
      <w:pPr>
        <w:spacing w:after="80"/>
      </w:pPr>
    </w:p>
    <w:p>
      <w:pPr>
        <w:spacing w:before="160" w:after="120"/>
      </w:pPr>
      <w:r>
        <w:rPr>
          <w:rFonts w:ascii="Times New Roman" w:hAnsi="Times New Roman"/>
          <w:b/>
          <w:sz w:val="24"/>
        </w:rPr>
        <w:t>4.2. Avaliação no Conjunto de Teste e Baselines</w:t>
      </w:r>
    </w:p>
    <w:p>
      <w:pPr>
        <w:jc w:val="both"/>
      </w:pPr>
      <w:r>
        <w:rPr>
          <w:rFonts w:ascii="Times New Roman" w:hAnsi="Times New Roman"/>
          <w:sz w:val="24"/>
        </w:rPr>
        <w:t>A configuração selecionada (hidden=128, dropout=0,4, lr=1×10⁻⁴) foi reavaliada no conjunto de teste oficial (300 perguntas), isolado da busca de hiperparâmetros. A Tabela 3 compara o resultado obtido contra dois baselines: um classificador aleatório e o ranqueamento por similaridade de cosseno pura sobre os embeddings do BERTimbau, sem qualquer classificador treinado.</w:t>
      </w:r>
    </w:p>
    <w:p>
      <w:pPr>
        <w:spacing w:before="200" w:after="80"/>
        <w:jc w:val="center"/>
      </w:pPr>
      <w:r>
        <w:rPr>
          <w:rFonts w:ascii="Times New Roman" w:hAnsi="Times New Roman"/>
          <w:sz w:val="20"/>
        </w:rPr>
        <w:t>Tabela 3. Accuracy@1 e MRR no conjunto de teste (300 perguntas, 50 candidatas cada): modelo final versus baselines.</w:t>
      </w:r>
    </w:p>
    <w:tbl>
      <w:tblPr>
        <w:tblStyle w:val="TableGrid"/>
        <w:tblW w:type="auto" w:w="0"/>
        <w:tblLook w:firstColumn="1" w:firstRow="1" w:lastColumn="0" w:lastRow="0" w:noHBand="0" w:noVBand="1" w:val="04A0"/>
      </w:tblPr>
      <w:tblGrid>
        <w:gridCol w:w="3307"/>
        <w:gridCol w:w="3307"/>
        <w:gridCol w:w="3307"/>
      </w:tblGrid>
      <w:tr>
        <w:tc>
          <w:tcPr>
            <w:tcW w:type="dxa" w:w="3307"/>
          </w:tcPr>
          <w:p>
            <w:pPr>
              <w:jc w:val="center"/>
            </w:pPr>
            <w:r>
              <w:rPr>
                <w:rFonts w:ascii="Times New Roman" w:hAnsi="Times New Roman"/>
                <w:b/>
                <w:sz w:val="18"/>
              </w:rPr>
              <w:t>Método</w:t>
            </w:r>
          </w:p>
        </w:tc>
        <w:tc>
          <w:tcPr>
            <w:tcW w:type="dxa" w:w="3307"/>
          </w:tcPr>
          <w:p>
            <w:pPr>
              <w:jc w:val="center"/>
            </w:pPr>
            <w:r>
              <w:rPr>
                <w:rFonts w:ascii="Times New Roman" w:hAnsi="Times New Roman"/>
                <w:b/>
                <w:sz w:val="18"/>
              </w:rPr>
              <w:t>Accuracy@1</w:t>
            </w:r>
          </w:p>
        </w:tc>
        <w:tc>
          <w:tcPr>
            <w:tcW w:type="dxa" w:w="3307"/>
          </w:tcPr>
          <w:p>
            <w:pPr>
              <w:jc w:val="center"/>
            </w:pPr>
            <w:r>
              <w:rPr>
                <w:rFonts w:ascii="Times New Roman" w:hAnsi="Times New Roman"/>
                <w:b/>
                <w:sz w:val="18"/>
              </w:rPr>
              <w:t>MRR</w:t>
            </w:r>
          </w:p>
        </w:tc>
      </w:tr>
      <w:tr>
        <w:tc>
          <w:tcPr>
            <w:tcW w:type="dxa" w:w="3307"/>
          </w:tcPr>
          <w:p>
            <w:pPr>
              <w:jc w:val="center"/>
            </w:pPr>
            <w:r>
              <w:rPr>
                <w:rFonts w:ascii="Times New Roman" w:hAnsi="Times New Roman"/>
                <w:sz w:val="18"/>
              </w:rPr>
              <w:t>MLP treinado (final)</w:t>
            </w:r>
          </w:p>
        </w:tc>
        <w:tc>
          <w:tcPr>
            <w:tcW w:type="dxa" w:w="3307"/>
          </w:tcPr>
          <w:p>
            <w:pPr>
              <w:jc w:val="center"/>
            </w:pPr>
            <w:r>
              <w:rPr>
                <w:rFonts w:ascii="Times New Roman" w:hAnsi="Times New Roman"/>
                <w:sz w:val="18"/>
              </w:rPr>
              <w:t>0,570</w:t>
            </w:r>
          </w:p>
        </w:tc>
        <w:tc>
          <w:tcPr>
            <w:tcW w:type="dxa" w:w="3307"/>
          </w:tcPr>
          <w:p>
            <w:pPr>
              <w:jc w:val="center"/>
            </w:pPr>
            <w:r>
              <w:rPr>
                <w:rFonts w:ascii="Times New Roman" w:hAnsi="Times New Roman"/>
                <w:sz w:val="18"/>
              </w:rPr>
              <w:t>0,679</w:t>
            </w:r>
          </w:p>
        </w:tc>
      </w:tr>
      <w:tr>
        <w:tc>
          <w:tcPr>
            <w:tcW w:type="dxa" w:w="3307"/>
          </w:tcPr>
          <w:p>
            <w:pPr>
              <w:jc w:val="center"/>
            </w:pPr>
            <w:r>
              <w:rPr>
                <w:rFonts w:ascii="Times New Roman" w:hAnsi="Times New Roman"/>
                <w:sz w:val="18"/>
              </w:rPr>
              <w:t>Similaridade de cosseno pura</w:t>
            </w:r>
          </w:p>
        </w:tc>
        <w:tc>
          <w:tcPr>
            <w:tcW w:type="dxa" w:w="3307"/>
          </w:tcPr>
          <w:p>
            <w:pPr>
              <w:jc w:val="center"/>
            </w:pPr>
            <w:r>
              <w:rPr>
                <w:rFonts w:ascii="Times New Roman" w:hAnsi="Times New Roman"/>
                <w:sz w:val="18"/>
              </w:rPr>
              <w:t>0,277</w:t>
            </w:r>
          </w:p>
        </w:tc>
        <w:tc>
          <w:tcPr>
            <w:tcW w:type="dxa" w:w="3307"/>
          </w:tcPr>
          <w:p>
            <w:pPr>
              <w:jc w:val="center"/>
            </w:pPr>
            <w:r>
              <w:rPr>
                <w:rFonts w:ascii="Times New Roman" w:hAnsi="Times New Roman"/>
                <w:sz w:val="18"/>
              </w:rPr>
              <w:t>0,392</w:t>
            </w:r>
          </w:p>
        </w:tc>
      </w:tr>
      <w:tr>
        <w:tc>
          <w:tcPr>
            <w:tcW w:type="dxa" w:w="3307"/>
          </w:tcPr>
          <w:p>
            <w:pPr>
              <w:jc w:val="center"/>
            </w:pPr>
            <w:r>
              <w:rPr>
                <w:rFonts w:ascii="Times New Roman" w:hAnsi="Times New Roman"/>
                <w:sz w:val="18"/>
              </w:rPr>
              <w:t>Aleatório</w:t>
            </w:r>
          </w:p>
        </w:tc>
        <w:tc>
          <w:tcPr>
            <w:tcW w:type="dxa" w:w="3307"/>
          </w:tcPr>
          <w:p>
            <w:pPr>
              <w:jc w:val="center"/>
            </w:pPr>
            <w:r>
              <w:rPr>
                <w:rFonts w:ascii="Times New Roman" w:hAnsi="Times New Roman"/>
                <w:sz w:val="18"/>
              </w:rPr>
              <w:t>0,020</w:t>
            </w:r>
          </w:p>
        </w:tc>
        <w:tc>
          <w:tcPr>
            <w:tcW w:type="dxa" w:w="3307"/>
          </w:tcPr>
          <w:p>
            <w:pPr>
              <w:jc w:val="center"/>
            </w:pPr>
            <w:r>
              <w:rPr>
                <w:rFonts w:ascii="Times New Roman" w:hAnsi="Times New Roman"/>
                <w:sz w:val="18"/>
              </w:rPr>
              <w:t>0,090</w:t>
            </w:r>
          </w:p>
        </w:tc>
      </w:tr>
    </w:tbl>
    <w:p>
      <w:pPr>
        <w:spacing w:after="80"/>
      </w:pPr>
    </w:p>
    <w:p>
      <w:pPr>
        <w:jc w:val="both"/>
      </w:pPr>
      <w:r>
        <w:rPr>
          <w:rFonts w:ascii="Times New Roman" w:hAnsi="Times New Roman"/>
          <w:sz w:val="24"/>
        </w:rPr>
        <w:t>O modelo treinado posiciona a resposta correta em primeiro lugar em 57% das perguntas de teste, 28 vezes acima do acaso (1/50 = 0,020) e mais que o dobro do desempenho obtido ranqueando apenas por similaridade de cosseno entre os embeddings brutos (0,277). Esse resultado demonstra que, embora o BERTimbau congelado já capture sinal semântico relevante para o pareamento pergunta-resposta (evidenciado pelo baseline de cosseno superar o acaso por ampla margem), o classificador de pares aprende uma função de correspondência mais discriminativa do que a proximidade vetorial bruta, justificando a escolha metodológica do MLP sobre uma simples busca por similaridade.</w:t>
      </w:r>
    </w:p>
    <w:p>
      <w:pPr>
        <w:spacing w:before="160" w:after="120"/>
      </w:pPr>
      <w:r>
        <w:rPr>
          <w:rFonts w:ascii="Times New Roman" w:hAnsi="Times New Roman"/>
          <w:b/>
          <w:sz w:val="24"/>
        </w:rPr>
        <w:t>4.3. Efeito do Volume de Dados de Treino</w:t>
      </w:r>
    </w:p>
    <w:p>
      <w:pPr>
        <w:jc w:val="both"/>
      </w:pPr>
      <w:r>
        <w:rPr>
          <w:rFonts w:ascii="Times New Roman" w:hAnsi="Times New Roman"/>
          <w:sz w:val="24"/>
        </w:rPr>
        <w:t>A Tabela 4 compara a versão final do experimento (treino completo, 2.307 perguntas, 8 negativos por positivo) contra uma versão preliminar (subamostra de 800 perguntas, 4 negativos por positivo), mantendo idêntica a arquitetura e o procedimento de busca de hiperparâmetros. O aumento do volume de dados de treino elevou o Accuracy@1 de teste de 0,500 para 0,570 (ganho relativo de 14%) e o MRR de 0,622 para 0,679 (ganho relativo de 9%), confirmando que o gargalo de desempenho da versão preliminar era, ao menos em parte, de disponibilidade de exemplos de treino, e não uma limitação estrutural da arquitetura de classificação de pares.</w:t>
      </w:r>
    </w:p>
    <w:p>
      <w:pPr>
        <w:spacing w:before="200" w:after="80"/>
        <w:jc w:val="center"/>
      </w:pPr>
      <w:r>
        <w:rPr>
          <w:rFonts w:ascii="Times New Roman" w:hAnsi="Times New Roman"/>
          <w:sz w:val="20"/>
        </w:rPr>
        <w:t>Tabela 4. Efeito do volume de dados de treino no desempenho final (mesma arquitetura, mesmo conjunto de teste).</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pPr>
              <w:jc w:val="center"/>
            </w:pPr>
            <w:r>
              <w:rPr>
                <w:rFonts w:ascii="Times New Roman" w:hAnsi="Times New Roman"/>
                <w:b/>
                <w:sz w:val="18"/>
              </w:rPr>
              <w:t>Versão</w:t>
            </w:r>
          </w:p>
        </w:tc>
        <w:tc>
          <w:tcPr>
            <w:tcW w:type="dxa" w:w="1984"/>
          </w:tcPr>
          <w:p>
            <w:pPr>
              <w:jc w:val="center"/>
            </w:pPr>
            <w:r>
              <w:rPr>
                <w:rFonts w:ascii="Times New Roman" w:hAnsi="Times New Roman"/>
                <w:b/>
                <w:sz w:val="18"/>
              </w:rPr>
              <w:t>Perguntas treino</w:t>
            </w:r>
          </w:p>
        </w:tc>
        <w:tc>
          <w:tcPr>
            <w:tcW w:type="dxa" w:w="1984"/>
          </w:tcPr>
          <w:p>
            <w:pPr>
              <w:jc w:val="center"/>
            </w:pPr>
            <w:r>
              <w:rPr>
                <w:rFonts w:ascii="Times New Roman" w:hAnsi="Times New Roman"/>
                <w:b/>
                <w:sz w:val="18"/>
              </w:rPr>
              <w:t>Negativos/pos.</w:t>
            </w:r>
          </w:p>
        </w:tc>
        <w:tc>
          <w:tcPr>
            <w:tcW w:type="dxa" w:w="1984"/>
          </w:tcPr>
          <w:p>
            <w:pPr>
              <w:jc w:val="center"/>
            </w:pPr>
            <w:r>
              <w:rPr>
                <w:rFonts w:ascii="Times New Roman" w:hAnsi="Times New Roman"/>
                <w:b/>
                <w:sz w:val="18"/>
              </w:rPr>
              <w:t>Acc@1</w:t>
            </w:r>
          </w:p>
        </w:tc>
        <w:tc>
          <w:tcPr>
            <w:tcW w:type="dxa" w:w="1984"/>
          </w:tcPr>
          <w:p>
            <w:pPr>
              <w:jc w:val="center"/>
            </w:pPr>
            <w:r>
              <w:rPr>
                <w:rFonts w:ascii="Times New Roman" w:hAnsi="Times New Roman"/>
                <w:b/>
                <w:sz w:val="18"/>
              </w:rPr>
              <w:t>MRR</w:t>
            </w:r>
          </w:p>
        </w:tc>
      </w:tr>
      <w:tr>
        <w:tc>
          <w:tcPr>
            <w:tcW w:type="dxa" w:w="1984"/>
          </w:tcPr>
          <w:p>
            <w:pPr>
              <w:jc w:val="center"/>
            </w:pPr>
            <w:r>
              <w:rPr>
                <w:rFonts w:ascii="Times New Roman" w:hAnsi="Times New Roman"/>
                <w:sz w:val="18"/>
              </w:rPr>
              <w:t>Preliminar</w:t>
            </w:r>
          </w:p>
        </w:tc>
        <w:tc>
          <w:tcPr>
            <w:tcW w:type="dxa" w:w="1984"/>
          </w:tcPr>
          <w:p>
            <w:pPr>
              <w:jc w:val="center"/>
            </w:pPr>
            <w:r>
              <w:rPr>
                <w:rFonts w:ascii="Times New Roman" w:hAnsi="Times New Roman"/>
                <w:sz w:val="18"/>
              </w:rPr>
              <w:t>800</w:t>
            </w:r>
          </w:p>
        </w:tc>
        <w:tc>
          <w:tcPr>
            <w:tcW w:type="dxa" w:w="1984"/>
          </w:tcPr>
          <w:p>
            <w:pPr>
              <w:jc w:val="center"/>
            </w:pPr>
            <w:r>
              <w:rPr>
                <w:rFonts w:ascii="Times New Roman" w:hAnsi="Times New Roman"/>
                <w:sz w:val="18"/>
              </w:rPr>
              <w:t>4</w:t>
            </w:r>
          </w:p>
        </w:tc>
        <w:tc>
          <w:tcPr>
            <w:tcW w:type="dxa" w:w="1984"/>
          </w:tcPr>
          <w:p>
            <w:pPr>
              <w:jc w:val="center"/>
            </w:pPr>
            <w:r>
              <w:rPr>
                <w:rFonts w:ascii="Times New Roman" w:hAnsi="Times New Roman"/>
                <w:sz w:val="18"/>
              </w:rPr>
              <w:t>0,500</w:t>
            </w:r>
          </w:p>
        </w:tc>
        <w:tc>
          <w:tcPr>
            <w:tcW w:type="dxa" w:w="1984"/>
          </w:tcPr>
          <w:p>
            <w:pPr>
              <w:jc w:val="center"/>
            </w:pPr>
            <w:r>
              <w:rPr>
                <w:rFonts w:ascii="Times New Roman" w:hAnsi="Times New Roman"/>
                <w:sz w:val="18"/>
              </w:rPr>
              <w:t>0,622</w:t>
            </w:r>
          </w:p>
        </w:tc>
      </w:tr>
      <w:tr>
        <w:tc>
          <w:tcPr>
            <w:tcW w:type="dxa" w:w="1984"/>
          </w:tcPr>
          <w:p>
            <w:pPr>
              <w:jc w:val="center"/>
            </w:pPr>
            <w:r>
              <w:rPr>
                <w:rFonts w:ascii="Times New Roman" w:hAnsi="Times New Roman"/>
                <w:sz w:val="18"/>
              </w:rPr>
              <w:t>Final</w:t>
            </w:r>
          </w:p>
        </w:tc>
        <w:tc>
          <w:tcPr>
            <w:tcW w:type="dxa" w:w="1984"/>
          </w:tcPr>
          <w:p>
            <w:pPr>
              <w:jc w:val="center"/>
            </w:pPr>
            <w:r>
              <w:rPr>
                <w:rFonts w:ascii="Times New Roman" w:hAnsi="Times New Roman"/>
                <w:sz w:val="18"/>
              </w:rPr>
              <w:t>2.307</w:t>
            </w:r>
          </w:p>
        </w:tc>
        <w:tc>
          <w:tcPr>
            <w:tcW w:type="dxa" w:w="1984"/>
          </w:tcPr>
          <w:p>
            <w:pPr>
              <w:jc w:val="center"/>
            </w:pPr>
            <w:r>
              <w:rPr>
                <w:rFonts w:ascii="Times New Roman" w:hAnsi="Times New Roman"/>
                <w:sz w:val="18"/>
              </w:rPr>
              <w:t>8</w:t>
            </w:r>
          </w:p>
        </w:tc>
        <w:tc>
          <w:tcPr>
            <w:tcW w:type="dxa" w:w="1984"/>
          </w:tcPr>
          <w:p>
            <w:pPr>
              <w:jc w:val="center"/>
            </w:pPr>
            <w:r>
              <w:rPr>
                <w:rFonts w:ascii="Times New Roman" w:hAnsi="Times New Roman"/>
                <w:sz w:val="18"/>
              </w:rPr>
              <w:t>0,570</w:t>
            </w:r>
          </w:p>
        </w:tc>
        <w:tc>
          <w:tcPr>
            <w:tcW w:type="dxa" w:w="1984"/>
          </w:tcPr>
          <w:p>
            <w:pPr>
              <w:jc w:val="center"/>
            </w:pPr>
            <w:r>
              <w:rPr>
                <w:rFonts w:ascii="Times New Roman" w:hAnsi="Times New Roman"/>
                <w:sz w:val="18"/>
              </w:rPr>
              <w:t>0,679</w:t>
            </w:r>
          </w:p>
        </w:tc>
      </w:tr>
    </w:tbl>
    <w:p>
      <w:pPr>
        <w:spacing w:after="80"/>
      </w:pPr>
    </w:p>
    <w:p>
      <w:pPr>
        <w:spacing w:before="160" w:after="120"/>
      </w:pPr>
      <w:r>
        <w:rPr>
          <w:rFonts w:ascii="Times New Roman" w:hAnsi="Times New Roman"/>
          <w:b/>
          <w:sz w:val="24"/>
        </w:rPr>
        <w:t>4.4. Discussão</w:t>
      </w:r>
    </w:p>
    <w:p>
      <w:pPr>
        <w:jc w:val="both"/>
      </w:pPr>
      <w:r>
        <w:rPr>
          <w:rFonts w:ascii="Times New Roman" w:hAnsi="Times New Roman"/>
          <w:sz w:val="24"/>
        </w:rPr>
        <w:t>Ao contrário de um experimento preliminar deste mesmo grupo com um dataset sintético de classificação financeira (cujo classificador atingiu F1-macro de 1,0, resultado atribuído à separabilidade lexical artificial dos dados gerados), o resultado obtido sobre o MilkQA é substancialmente mais informativo por ser medido em dados reais, escritos por autores heterogêneos, sem controle artificial de vocabulário. O fato de o modelo acertar em primeiro lugar em 57% dos casos, embora bem acima dos dois baselines, é coerente com a dificuldade genuína da tarefa: respostas tecnicamente distintas podem compartilhar vocabulário veterinário/agropecuário comum (nomes de doenças, insumos, procedimentos), tornando pares negativos por vezes lexicalmente próximos do par positivo.</w:t>
      </w:r>
    </w:p>
    <w:p>
      <w:pPr>
        <w:jc w:val="both"/>
      </w:pPr>
      <w:r>
        <w:rPr>
          <w:rFonts w:ascii="Times New Roman" w:hAnsi="Times New Roman"/>
          <w:sz w:val="24"/>
        </w:rPr>
        <w:t>Duas direções de melhoria não exploradas por restrição de tempo são particularmente promissoras à luz dos resultados obtidos: (i) amostragem de negativos difíceis (hard negative mining), selecionando como exemplos negativos as candidatas com maior similaridade de cosseno à pergunta dentre as incorretas, em vez de amostragem aleatória, tende a produzir um classificador mais discriminativo justamente nos casos mais ambíguos; e (ii) fine-tuning parcial das últimas camadas do BERTimbau, em vez de mantê-lo integralmente congelado, permitindo que a representação textual se especialize no vocabulário técnico do domínio.</w:t>
      </w:r>
    </w:p>
    <w:p>
      <w:pPr>
        <w:spacing w:before="160" w:after="120"/>
      </w:pPr>
      <w:r>
        <w:rPr>
          <w:rFonts w:ascii="Times New Roman" w:hAnsi="Times New Roman"/>
          <w:b/>
          <w:sz w:val="24"/>
        </w:rPr>
        <w:t>4.5. Refinamentos Adicionais sem Ganho Significativo</w:t>
      </w:r>
    </w:p>
    <w:p>
      <w:pPr>
        <w:jc w:val="both"/>
      </w:pPr>
      <w:r>
        <w:rPr>
          <w:rFonts w:ascii="Times New Roman" w:hAnsi="Times New Roman"/>
          <w:sz w:val="24"/>
        </w:rPr>
        <w:t>Dois refinamentos foram testados após o resultado da Seção 4.3, com o objetivo de investigar se ganhos adicionais estariam disponíveis sem alterar a arquitetura ou o backbone congelado. Um ensemble por média ponderada entre a pontuação do MLP e a similaridade de cosseno bruta piorou monotonicamente o Accuracy@1 conforme o peso do cosseno aumentava (de 0,570, com peso zero, até 0,503, com pesos iguais), indicando que o classificador treinado já incorpora a informação do embedding de forma mais eficaz do que uma combinação linear simples com o sinal não-treinado.</w:t>
      </w:r>
    </w:p>
    <w:p>
      <w:pPr>
        <w:jc w:val="both"/>
      </w:pPr>
      <w:r>
        <w:rPr>
          <w:rFonts w:ascii="Times New Roman" w:hAnsi="Times New Roman"/>
          <w:sz w:val="24"/>
        </w:rPr>
        <w:t>Um segundo experimento aplicou hard negative mining, substituindo metade dos negativos de treino, antes amostrados uniformemente ao acaso, pelas candidatas incorretas de maior similaridade de cosseno com a pergunta. O resultado (Accuracy@1 = 0,573; MRR = 0,677) é estatisticamente equivalente ao obtido com amostragem aleatória (Accuracy@1 = 0,570; MRR = 0,679), não configurando ganho real. Interpreta-se este resultado nulo como evidência de que o gargalo de desempenho atual não está mais na estratégia de amostragem de negativos, e sim na capacidade representacional do backbone congelado, reforçando o fine-tuning parcial do BERTimbau, discutido na Seção 4.6, como a direção mais provável de ganho adicional.</w:t>
      </w:r>
    </w:p>
    <w:p>
      <w:pPr>
        <w:spacing w:before="160" w:after="120"/>
      </w:pPr>
      <w:r>
        <w:rPr>
          <w:rFonts w:ascii="Times New Roman" w:hAnsi="Times New Roman"/>
          <w:b/>
          <w:sz w:val="24"/>
        </w:rPr>
        <w:t>4.6. Fine-Tuning Parcial: da Falha ao Resultado Final</w:t>
      </w:r>
    </w:p>
    <w:p>
      <w:pPr>
        <w:jc w:val="both"/>
      </w:pPr>
      <w:r>
        <w:rPr>
          <w:rFonts w:ascii="Times New Roman" w:hAnsi="Times New Roman"/>
          <w:sz w:val="24"/>
        </w:rPr>
        <w:t>Motivada pela hipótese de que a representação congelada do BERTimbau limitava o desempenho do sistema, uma etapa adicional investigou o fine-tuning parcial do backbone: a última camada do encoder (1 de 12, aproximadamente 7% dos parâmetros do modelo) e a camada de pooling foram descongeladas e treinadas conjuntamente com a cabeça de classificação, com taxa de aprendizado reduzida para os parâmetros do BERTimbau (2×10⁻⁵) em relação à cabeça (1×10⁻³) — estratégia de descongelamento parcial das camadas finais que, combinada a uma taxa de aprendizado baixa no backbone, reduz o risco de catastrophic forgetting do conhecimento linguístico pré-treinado.</w:t>
      </w:r>
    </w:p>
    <w:p>
      <w:pPr>
        <w:jc w:val="both"/>
      </w:pPr>
      <w:r>
        <w:rPr>
          <w:rFonts w:ascii="Times New Roman" w:hAnsi="Times New Roman"/>
          <w:sz w:val="24"/>
        </w:rPr>
        <w:t>Uma primeira execução, restrita a 300 das 2.307 perguntas de treino disponíveis por limitação de tempo de processamento em CPU (o treinamento sem cache de embeddings exige recomputar representações a cada passo), resultou em desempenho inferior à versão com embeddings congelados (Accuracy@1 = 0,487; MRR = 0,606). O log de treinamento revelou oscilação não monotônica da métrica de validação entre épocas, consistente com volume de dados insuficiente para o número de parâmetros ajustados, não uma limitação intrínseca do método.</w:t>
      </w:r>
    </w:p>
    <w:p>
      <w:pPr>
        <w:jc w:val="both"/>
      </w:pPr>
      <w:r>
        <w:rPr>
          <w:rFonts w:ascii="Times New Roman" w:hAnsi="Times New Roman"/>
          <w:sz w:val="24"/>
        </w:rPr>
        <w:t>Para testar essa hipótese, o experimento foi repetido com o conjunto de treino completo (2.307 perguntas, 6 negativos por positivo, 5 épocas), em execução de aproximadamente 11 horas em CPU, incluindo a recuperação de uma interrupção do sistema operacional no meio do treinamento, viabilizada por checkpoints salvos ao final de cada época. O resultado confirma a hipótese: com volume de dado equivalente ao da versão congelada, o fine-tuning parcial supera-a com margem expressiva (Tabela 5).</w:t>
      </w:r>
    </w:p>
    <w:p>
      <w:pPr>
        <w:spacing w:before="200" w:after="80"/>
        <w:jc w:val="center"/>
      </w:pPr>
      <w:r>
        <w:rPr>
          <w:rFonts w:ascii="Times New Roman" w:hAnsi="Times New Roman"/>
          <w:sz w:val="20"/>
        </w:rPr>
        <w:t>Tabela 5. Comparação entre embeddings congelados e fine-tuning parcial (duas tentativas), conjunto de teste (300 perguntas).</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pPr>
              <w:jc w:val="center"/>
            </w:pPr>
            <w:r>
              <w:rPr>
                <w:rFonts w:ascii="Times New Roman" w:hAnsi="Times New Roman"/>
                <w:b/>
                <w:sz w:val="18"/>
              </w:rPr>
              <w:t>Configuração</w:t>
            </w:r>
          </w:p>
        </w:tc>
        <w:tc>
          <w:tcPr>
            <w:tcW w:type="dxa" w:w="2480"/>
          </w:tcPr>
          <w:p>
            <w:pPr>
              <w:jc w:val="center"/>
            </w:pPr>
            <w:r>
              <w:rPr>
                <w:rFonts w:ascii="Times New Roman" w:hAnsi="Times New Roman"/>
                <w:b/>
                <w:sz w:val="18"/>
              </w:rPr>
              <w:t>Perguntas de treino</w:t>
            </w:r>
          </w:p>
        </w:tc>
        <w:tc>
          <w:tcPr>
            <w:tcW w:type="dxa" w:w="2480"/>
          </w:tcPr>
          <w:p>
            <w:pPr>
              <w:jc w:val="center"/>
            </w:pPr>
            <w:r>
              <w:rPr>
                <w:rFonts w:ascii="Times New Roman" w:hAnsi="Times New Roman"/>
                <w:b/>
                <w:sz w:val="18"/>
              </w:rPr>
              <w:t>Accuracy@1</w:t>
            </w:r>
          </w:p>
        </w:tc>
        <w:tc>
          <w:tcPr>
            <w:tcW w:type="dxa" w:w="2480"/>
          </w:tcPr>
          <w:p>
            <w:pPr>
              <w:jc w:val="center"/>
            </w:pPr>
            <w:r>
              <w:rPr>
                <w:rFonts w:ascii="Times New Roman" w:hAnsi="Times New Roman"/>
                <w:b/>
                <w:sz w:val="18"/>
              </w:rPr>
              <w:t>MRR</w:t>
            </w:r>
          </w:p>
        </w:tc>
      </w:tr>
      <w:tr>
        <w:tc>
          <w:tcPr>
            <w:tcW w:type="dxa" w:w="2480"/>
          </w:tcPr>
          <w:p>
            <w:pPr>
              <w:jc w:val="center"/>
            </w:pPr>
            <w:r>
              <w:rPr>
                <w:rFonts w:ascii="Times New Roman" w:hAnsi="Times New Roman"/>
                <w:sz w:val="18"/>
              </w:rPr>
              <w:t>Embeddings congelados</w:t>
            </w:r>
          </w:p>
        </w:tc>
        <w:tc>
          <w:tcPr>
            <w:tcW w:type="dxa" w:w="2480"/>
          </w:tcPr>
          <w:p>
            <w:pPr>
              <w:jc w:val="center"/>
            </w:pPr>
            <w:r>
              <w:rPr>
                <w:rFonts w:ascii="Times New Roman" w:hAnsi="Times New Roman"/>
                <w:sz w:val="18"/>
              </w:rPr>
              <w:t>2.307</w:t>
            </w:r>
          </w:p>
        </w:tc>
        <w:tc>
          <w:tcPr>
            <w:tcW w:type="dxa" w:w="2480"/>
          </w:tcPr>
          <w:p>
            <w:pPr>
              <w:jc w:val="center"/>
            </w:pPr>
            <w:r>
              <w:rPr>
                <w:rFonts w:ascii="Times New Roman" w:hAnsi="Times New Roman"/>
                <w:sz w:val="18"/>
              </w:rPr>
              <w:t>0,570</w:t>
            </w:r>
          </w:p>
        </w:tc>
        <w:tc>
          <w:tcPr>
            <w:tcW w:type="dxa" w:w="2480"/>
          </w:tcPr>
          <w:p>
            <w:pPr>
              <w:jc w:val="center"/>
            </w:pPr>
            <w:r>
              <w:rPr>
                <w:rFonts w:ascii="Times New Roman" w:hAnsi="Times New Roman"/>
                <w:sz w:val="18"/>
              </w:rPr>
              <w:t>0,679</w:t>
            </w:r>
          </w:p>
        </w:tc>
      </w:tr>
      <w:tr>
        <w:tc>
          <w:tcPr>
            <w:tcW w:type="dxa" w:w="2480"/>
          </w:tcPr>
          <w:p>
            <w:pPr>
              <w:jc w:val="center"/>
            </w:pPr>
            <w:r>
              <w:rPr>
                <w:rFonts w:ascii="Times New Roman" w:hAnsi="Times New Roman"/>
                <w:sz w:val="18"/>
              </w:rPr>
              <w:t>Fine-tuning parcial (tentativa 1)</w:t>
            </w:r>
          </w:p>
        </w:tc>
        <w:tc>
          <w:tcPr>
            <w:tcW w:type="dxa" w:w="2480"/>
          </w:tcPr>
          <w:p>
            <w:pPr>
              <w:jc w:val="center"/>
            </w:pPr>
            <w:r>
              <w:rPr>
                <w:rFonts w:ascii="Times New Roman" w:hAnsi="Times New Roman"/>
                <w:sz w:val="18"/>
              </w:rPr>
              <w:t>300</w:t>
            </w:r>
          </w:p>
        </w:tc>
        <w:tc>
          <w:tcPr>
            <w:tcW w:type="dxa" w:w="2480"/>
          </w:tcPr>
          <w:p>
            <w:pPr>
              <w:jc w:val="center"/>
            </w:pPr>
            <w:r>
              <w:rPr>
                <w:rFonts w:ascii="Times New Roman" w:hAnsi="Times New Roman"/>
                <w:sz w:val="18"/>
              </w:rPr>
              <w:t>0,487</w:t>
            </w:r>
          </w:p>
        </w:tc>
        <w:tc>
          <w:tcPr>
            <w:tcW w:type="dxa" w:w="2480"/>
          </w:tcPr>
          <w:p>
            <w:pPr>
              <w:jc w:val="center"/>
            </w:pPr>
            <w:r>
              <w:rPr>
                <w:rFonts w:ascii="Times New Roman" w:hAnsi="Times New Roman"/>
                <w:sz w:val="18"/>
              </w:rPr>
              <w:t>0,606</w:t>
            </w:r>
          </w:p>
        </w:tc>
      </w:tr>
      <w:tr>
        <w:tc>
          <w:tcPr>
            <w:tcW w:type="dxa" w:w="2480"/>
          </w:tcPr>
          <w:p>
            <w:pPr>
              <w:jc w:val="center"/>
            </w:pPr>
            <w:r>
              <w:rPr>
                <w:rFonts w:ascii="Times New Roman" w:hAnsi="Times New Roman"/>
                <w:sz w:val="18"/>
              </w:rPr>
              <w:t>Fine-tuning parcial (tentativa 2)</w:t>
            </w:r>
          </w:p>
        </w:tc>
        <w:tc>
          <w:tcPr>
            <w:tcW w:type="dxa" w:w="2480"/>
          </w:tcPr>
          <w:p>
            <w:pPr>
              <w:jc w:val="center"/>
            </w:pPr>
            <w:r>
              <w:rPr>
                <w:rFonts w:ascii="Times New Roman" w:hAnsi="Times New Roman"/>
                <w:sz w:val="18"/>
              </w:rPr>
              <w:t>2.307</w:t>
            </w:r>
          </w:p>
        </w:tc>
        <w:tc>
          <w:tcPr>
            <w:tcW w:type="dxa" w:w="2480"/>
          </w:tcPr>
          <w:p>
            <w:pPr>
              <w:jc w:val="center"/>
            </w:pPr>
            <w:r>
              <w:rPr>
                <w:rFonts w:ascii="Times New Roman" w:hAnsi="Times New Roman"/>
                <w:sz w:val="18"/>
              </w:rPr>
              <w:t>0,690</w:t>
            </w:r>
          </w:p>
        </w:tc>
        <w:tc>
          <w:tcPr>
            <w:tcW w:type="dxa" w:w="2480"/>
          </w:tcPr>
          <w:p>
            <w:pPr>
              <w:jc w:val="center"/>
            </w:pPr>
            <w:r>
              <w:rPr>
                <w:rFonts w:ascii="Times New Roman" w:hAnsi="Times New Roman"/>
                <w:sz w:val="18"/>
              </w:rPr>
              <w:t>0,782</w:t>
            </w:r>
          </w:p>
        </w:tc>
      </w:tr>
    </w:tbl>
    <w:p/>
    <w:p>
      <w:pPr>
        <w:jc w:val="both"/>
      </w:pPr>
      <w:r>
        <w:rPr>
          <w:rFonts w:ascii="Times New Roman" w:hAnsi="Times New Roman"/>
          <w:sz w:val="24"/>
        </w:rPr>
        <w:t>O ganho da configuração final sobre os embeddings congelados é de aproximadamente 21% em Accuracy@1 e 15% em MRR, tornando o fine-tuning parcial com dataset completo a configuração final recomendada deste trabalho. O episódio ilustra um risco metodológico relevante: conclusões sobre a eficácia de uma técnica obtidas sob restrição de recursos podem ser artefatos dessa restrição, e não do método em si: a primeira tentativa, isoladamente, sugeriria erroneamente que fine-tuning não compensa o custo computacional adicional neste problema.</w:t>
      </w:r>
    </w:p>
    <w:p>
      <w:r>
        <w:rPr>
          <w:b/>
          <w:i/>
        </w:rPr>
        <w:t>4.7. Baseline Puramente Lexical (TF-IDF)</w:t>
      </w:r>
    </w:p>
    <w:p>
      <w:r>
        <w:rPr>
          <w:b w:val="0"/>
          <w:i w:val="0"/>
        </w:rPr>
        <w:t>Como contraponto às abordagens neurais, foi implementado um baseline inteiramente clássico: tokenização, remoção de stopwords, TF-IDF (Salton, Wong e Yang, 1975) e similaridade de cosseno, sem qualquer modelo de linguagem pré-treinado ou biblioteca de alto nível (implementação própria, sem uso de scikit-learn), sobre o mesmo corpus e os mesmos splits oficiais. O IDF foi calculado com suavização aditiva (idf(t) = log(N⁄(1+df(t))) + 1, em vez da forma sem suavização log(N⁄df(t))), variante padrão que evita IDF nulo ou indefinido para termos de baixa frequência de documento. O resultado, Accuracy@1 = 0,503 e MRR = 0,610 no conjunto de teste, obtido em menos de 5 segundos de processamento, supera com folga a similaridade de cosseno pura sobre o BERTimbau não treinado (0,277 e 0,392, respectivamente). Esse resultado é consistente com um fenômeno documentado na literatura de recuperação de informação: baselines lexicais clássicos costumam ser difíceis de superar por representações neurais que não foram ajustadas especificamente à tarefa, especialmente em domínios como o de pecuária leiteira, em que pergunta e resposta compartilham vocabulário técnico específico, capturado diretamente pela correspondência exata de termos. O BERTimbau só ultrapassa o TF-IDF depois de receber algum treinamento supervisionado (classificador de pares ou fine-tuning), evidenciando que o ganho de desempenho não decorre do embedding pré-treinado por si só, mas da capacidade de ajustá-lo à tarefa específica.</w:t>
      </w:r>
    </w:p>
    <w:p>
      <w:r>
        <w:rPr>
          <w:b/>
          <w:i/>
        </w:rPr>
        <w:t>4.8. Modelo Híbrido: Fusão de BM25 e BERTimbau</w:t>
      </w:r>
    </w:p>
    <w:p>
      <w:r>
        <w:rPr>
          <w:b w:val="0"/>
          <w:i w:val="0"/>
        </w:rPr>
        <w:t>Um quarto experimento investigou se o sinal lexical explorado pelo baseline de TF-IDF poderia ser incorporado diretamente ao classificador neural, em vez de tratado como alternativa concorrente. Para cada par (pergunta, candidata), um escore BM25 (Robertson e Zaragoza, 2009, via biblioteca rank_bm25), normalizado por min-max dentro do conjunto de 50 candidatas de cada pergunta, foi concatenado ao vetor denso de 3072 dimensões do BERTimbau, junto com a própria similaridade de cosseno entre os embeddings, resultando em um vetor enriquecido de 3074 dimensões. Esse vetor foi processado por um MLP com arquitetura equivalente à da Seção 3.3, mas com camada de saída Sigmoid explícita e função de perda de entropia cruzada binária padrão (não logits). Usando os mesmos embeddings BERTimbau congelados da Seção 3.2, sem qualquer fine-tuning, essa fusão de features elevou o Accuracy@1 de teste de 0,570 para 0,663 (ganho de 16%) e o MRR de 0,679 para 0,753 (ganho de 11%) em relação à versão sem BM25, aproximando-se do resultado obtido com fine-tuning parcial completo (0,690 e 0,782) a um custo computacional de cerca de 2 minutos, ante aproximadamente 11 horas do fine-tuning. Isso sugere que parte substancial do ganho normalmente atribuído ao fine-tuning não decorre de uma capacidade representacional nova adquirida pelo BERTimbau, mas da disponibilização explícita, ao classificador, de um sinal de correspondência lexical exata que o embedding congelado, por si só, não expõe de forma acessível ao MLP.</w:t>
      </w:r>
    </w:p>
    <w:p>
      <w:r>
        <w:rPr>
          <w:b/>
          <w:i/>
        </w:rPr>
        <w:t>4.9. Cross-Encoder com Self-Attention Conjunta sobre o Par</w:t>
      </w:r>
    </w:p>
    <w:p>
      <w:r>
        <w:rPr>
          <w:b w:val="0"/>
          <w:i w:val="0"/>
        </w:rPr>
        <w:t>Diferentemente das variantes anteriores, todas bi-encoder, em que pergunta e candidata geram embeddings independentes combinados posteriormente, um quinto experimento implementou um Cross-Encoder: a pergunta e a candidata são concatenadas em uma única sequência de entrada (“[CLS] pergunta [SEP] candidata [SEP]”), processada pelo BERTimbau, cuja self-attention passa a operar conjuntamente sobre os dois textos concatenados em todas as camadas do Transformer, antes de qualquer decisão de classificação (mecanismo tecnicamente distinto da cross-attention entre encoder e decoder de arquiteturas sequence-to-sequence: aqui, query, key e value derivam todos da mesma sequência conjunta pergunta+candidata). O vetor pooler_output resultante (768 dimensões, já representando o par como um todo) alimenta uma cabeça de classificação leve. Como não há cache possível entre pares diferentes, já que cada par exige uma nova passada pelo BERT, o backbone foi mantido congelado (perfilamento real indicou custo de aproximadamente 362ms por par em CPU) e apenas a cabeça de classificação foi treinada sobre os vetores extraídos. O resultado, Accuracy@1 = 0,617 e MRR = 0,715 no teste, supera a variante bi-encoder congelada equivalente (0,570 e 0,679) sem qualquer ajuste dos pesos do BERTimbau, evidência de que essa atenção conjunta entre pergunta e candidata, por si só, captura informação de correspondência pergunta-resposta que a simples combinação de embeddings independentes não expõe. Ainda assim, o Cross-Encoder fica atrás tanto do modelo híbrido (0,663 e 0,753) quanto do fine-tuning parcial (0,690 e 0,782), sugerindo que, nesta escala de dado, o sinal lexical explícito e o ajuste de pesos continuam sendo mais valiosos do que a mudança arquitetural isolada.</w:t>
      </w:r>
    </w:p>
    <w:p>
      <w:r>
        <w:rPr>
          <w:b/>
          <w:i/>
        </w:rPr>
        <w:t>4.10. Pipeline Multi-Estágio: BM25 seguido de Cross-Encoder</w:t>
      </w:r>
    </w:p>
    <w:p>
      <w:r>
        <w:rPr>
          <w:b w:val="0"/>
          <w:i w:val="0"/>
        </w:rPr>
        <w:t>O custo do Cross-Encoder, uma passada completa pelo BERT por candidata sem possibilidade de cache, motivou um sexto experimento: um pipeline de dois estágios, no espírito de arquiteturas de recuperação de informação em produção. No primeiro estágio, o BM25 pontua as 50 candidatas de cada pergunta a custo desprezível e filtra as K mais promissoras; no segundo estágio, o Cross-Encoder, computacionalmente caro, reranqueia somente essas K candidatas, e as 50-K restantes permanecem na ordem estabelecida pelo BM25. Avaliado no conjunto de teste com K variando entre 3 e 50 (Tabela 6), o pipeline demonstra um trade-off favorável: com K = 10, a Accuracy@1 cai apenas de 0,617 (Cross-Encoder aplicado às 50 candidatas) para 0,590, uma perda de 0,027, mas o número de chamadas ao BERT por pergunta cai 80% (de 50 para 10); com K = 20, a perda é praticamente nula (0,600) para uma economia de 60%. Esse resultado ilustra o princípio central de sistemas de busca em produção: reservar o modelo mais caro para um subconjunto pequeno e promissor de candidatas, filtrado por um método barato, aqui demonstrado em miniatura sobre o pool de 50 candidatas do MilkQA, mas diretamente generalizável a cenários com pools de candidatos muito maiores, em que rodar um Cross-Encoder sobre todo o conjunto seria inviável.</w:t>
      </w:r>
    </w:p>
    <w:p>
      <w:r>
        <w:rPr>
          <w:b w:val="0"/>
          <w:i w:val="0"/>
        </w:rPr>
        <w:t>Tabela 6. Accuracy@1 e MRR do pipeline multi-estágio no conjunto de teste, por número de candidatas reranqueadas pelo Cross-Encoder (K).</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r>
              <w:t>K</w:t>
            </w:r>
          </w:p>
        </w:tc>
        <w:tc>
          <w:tcPr>
            <w:tcW w:type="dxa" w:w="2480"/>
          </w:tcPr>
          <w:p>
            <w:r>
              <w:t>Accuracy@1</w:t>
            </w:r>
          </w:p>
        </w:tc>
        <w:tc>
          <w:tcPr>
            <w:tcW w:type="dxa" w:w="2480"/>
          </w:tcPr>
          <w:p>
            <w:r>
              <w:t>MRR</w:t>
            </w:r>
          </w:p>
        </w:tc>
        <w:tc>
          <w:tcPr>
            <w:tcW w:type="dxa" w:w="2480"/>
          </w:tcPr>
          <w:p>
            <w:r>
              <w:t>Economia de chamadas ao BERT</w:t>
            </w:r>
          </w:p>
        </w:tc>
      </w:tr>
      <w:tr>
        <w:tc>
          <w:tcPr>
            <w:tcW w:type="dxa" w:w="2480"/>
          </w:tcPr>
          <w:p>
            <w:r>
              <w:t>3</w:t>
            </w:r>
          </w:p>
        </w:tc>
        <w:tc>
          <w:tcPr>
            <w:tcW w:type="dxa" w:w="2480"/>
          </w:tcPr>
          <w:p>
            <w:r>
              <w:t>0,530</w:t>
            </w:r>
          </w:p>
        </w:tc>
        <w:tc>
          <w:tcPr>
            <w:tcW w:type="dxa" w:w="2480"/>
          </w:tcPr>
          <w:p>
            <w:r>
              <w:t>0,617</w:t>
            </w:r>
          </w:p>
        </w:tc>
        <w:tc>
          <w:tcPr>
            <w:tcW w:type="dxa" w:w="2480"/>
          </w:tcPr>
          <w:p>
            <w:r>
              <w:t>94%</w:t>
            </w:r>
          </w:p>
        </w:tc>
      </w:tr>
      <w:tr>
        <w:tc>
          <w:tcPr>
            <w:tcW w:type="dxa" w:w="2480"/>
          </w:tcPr>
          <w:p>
            <w:r>
              <w:t>5</w:t>
            </w:r>
          </w:p>
        </w:tc>
        <w:tc>
          <w:tcPr>
            <w:tcW w:type="dxa" w:w="2480"/>
          </w:tcPr>
          <w:p>
            <w:r>
              <w:t>0,553</w:t>
            </w:r>
          </w:p>
        </w:tc>
        <w:tc>
          <w:tcPr>
            <w:tcW w:type="dxa" w:w="2480"/>
          </w:tcPr>
          <w:p>
            <w:r>
              <w:t>0,636</w:t>
            </w:r>
          </w:p>
        </w:tc>
        <w:tc>
          <w:tcPr>
            <w:tcW w:type="dxa" w:w="2480"/>
          </w:tcPr>
          <w:p>
            <w:r>
              <w:t>90%</w:t>
            </w:r>
          </w:p>
        </w:tc>
      </w:tr>
      <w:tr>
        <w:tc>
          <w:tcPr>
            <w:tcW w:type="dxa" w:w="2480"/>
          </w:tcPr>
          <w:p>
            <w:r>
              <w:t>10</w:t>
            </w:r>
          </w:p>
        </w:tc>
        <w:tc>
          <w:tcPr>
            <w:tcW w:type="dxa" w:w="2480"/>
          </w:tcPr>
          <w:p>
            <w:r>
              <w:t>0,590</w:t>
            </w:r>
          </w:p>
        </w:tc>
        <w:tc>
          <w:tcPr>
            <w:tcW w:type="dxa" w:w="2480"/>
          </w:tcPr>
          <w:p>
            <w:r>
              <w:t>0,675</w:t>
            </w:r>
          </w:p>
        </w:tc>
        <w:tc>
          <w:tcPr>
            <w:tcW w:type="dxa" w:w="2480"/>
          </w:tcPr>
          <w:p>
            <w:r>
              <w:t>80%</w:t>
            </w:r>
          </w:p>
        </w:tc>
      </w:tr>
      <w:tr>
        <w:tc>
          <w:tcPr>
            <w:tcW w:type="dxa" w:w="2480"/>
          </w:tcPr>
          <w:p>
            <w:r>
              <w:t>20</w:t>
            </w:r>
          </w:p>
        </w:tc>
        <w:tc>
          <w:tcPr>
            <w:tcW w:type="dxa" w:w="2480"/>
          </w:tcPr>
          <w:p>
            <w:r>
              <w:t>0,600</w:t>
            </w:r>
          </w:p>
        </w:tc>
        <w:tc>
          <w:tcPr>
            <w:tcW w:type="dxa" w:w="2480"/>
          </w:tcPr>
          <w:p>
            <w:r>
              <w:t>0,696</w:t>
            </w:r>
          </w:p>
        </w:tc>
        <w:tc>
          <w:tcPr>
            <w:tcW w:type="dxa" w:w="2480"/>
          </w:tcPr>
          <w:p>
            <w:r>
              <w:t>60%</w:t>
            </w:r>
          </w:p>
        </w:tc>
      </w:tr>
      <w:tr>
        <w:tc>
          <w:tcPr>
            <w:tcW w:type="dxa" w:w="2480"/>
          </w:tcPr>
          <w:p>
            <w:r>
              <w:t>50 (= Cross-Encoder puro)</w:t>
            </w:r>
          </w:p>
        </w:tc>
        <w:tc>
          <w:tcPr>
            <w:tcW w:type="dxa" w:w="2480"/>
          </w:tcPr>
          <w:p>
            <w:r>
              <w:t>0,617</w:t>
            </w:r>
          </w:p>
        </w:tc>
        <w:tc>
          <w:tcPr>
            <w:tcW w:type="dxa" w:w="2480"/>
          </w:tcPr>
          <w:p>
            <w:r>
              <w:t>0,716</w:t>
            </w:r>
          </w:p>
        </w:tc>
        <w:tc>
          <w:tcPr>
            <w:tcW w:type="dxa" w:w="2480"/>
          </w:tcPr>
          <w:p>
            <w:r>
              <w:t>0%</w:t>
            </w:r>
          </w:p>
        </w:tc>
      </w:tr>
    </w:tbl>
    <w:p>
      <w:r>
        <w:rPr>
          <w:b w:val="0"/>
          <w:i w:val="0"/>
        </w:rPr>
        <w:t>Tabela 7. Síntese comparativa de todas as variantes avaliadas no conjunto de teste (300 perguntas).</w:t>
      </w:r>
    </w:p>
    <w:tbl>
      <w:tblPr>
        <w:tblStyle w:val="TableGrid"/>
        <w:tblW w:type="auto" w:w="0"/>
        <w:tblLook w:firstColumn="1" w:firstRow="1" w:lastColumn="0" w:lastRow="0" w:noHBand="0" w:noVBand="1" w:val="04A0"/>
      </w:tblPr>
      <w:tblGrid>
        <w:gridCol w:w="3307"/>
        <w:gridCol w:w="3307"/>
        <w:gridCol w:w="3307"/>
      </w:tblGrid>
      <w:tr>
        <w:tc>
          <w:tcPr>
            <w:tcW w:type="dxa" w:w="3307"/>
          </w:tcPr>
          <w:p>
            <w:r>
              <w:t>Configuração</w:t>
            </w:r>
          </w:p>
        </w:tc>
        <w:tc>
          <w:tcPr>
            <w:tcW w:type="dxa" w:w="3307"/>
          </w:tcPr>
          <w:p>
            <w:r>
              <w:t>Accuracy@1</w:t>
            </w:r>
          </w:p>
        </w:tc>
        <w:tc>
          <w:tcPr>
            <w:tcW w:type="dxa" w:w="3307"/>
          </w:tcPr>
          <w:p>
            <w:r>
              <w:t>MRR</w:t>
            </w:r>
          </w:p>
        </w:tc>
      </w:tr>
      <w:tr>
        <w:tc>
          <w:tcPr>
            <w:tcW w:type="dxa" w:w="3307"/>
          </w:tcPr>
          <w:p>
            <w:r>
              <w:t>Aleatório</w:t>
            </w:r>
          </w:p>
        </w:tc>
        <w:tc>
          <w:tcPr>
            <w:tcW w:type="dxa" w:w="3307"/>
          </w:tcPr>
          <w:p>
            <w:r>
              <w:t>0,020</w:t>
            </w:r>
          </w:p>
        </w:tc>
        <w:tc>
          <w:tcPr>
            <w:tcW w:type="dxa" w:w="3307"/>
          </w:tcPr>
          <w:p>
            <w:r>
              <w:t>0,090</w:t>
            </w:r>
          </w:p>
        </w:tc>
      </w:tr>
      <w:tr>
        <w:tc>
          <w:tcPr>
            <w:tcW w:type="dxa" w:w="3307"/>
          </w:tcPr>
          <w:p>
            <w:r>
              <w:t>Similaridade de cosseno pura (BERTimbau sem treino)</w:t>
            </w:r>
          </w:p>
        </w:tc>
        <w:tc>
          <w:tcPr>
            <w:tcW w:type="dxa" w:w="3307"/>
          </w:tcPr>
          <w:p>
            <w:r>
              <w:t>0,277</w:t>
            </w:r>
          </w:p>
        </w:tc>
        <w:tc>
          <w:tcPr>
            <w:tcW w:type="dxa" w:w="3307"/>
          </w:tcPr>
          <w:p>
            <w:r>
              <w:t>0,392</w:t>
            </w:r>
          </w:p>
        </w:tc>
      </w:tr>
      <w:tr>
        <w:tc>
          <w:tcPr>
            <w:tcW w:type="dxa" w:w="3307"/>
          </w:tcPr>
          <w:p>
            <w:r>
              <w:t>TF-IDF + cosseno (implementação própria, sem BERT)</w:t>
            </w:r>
          </w:p>
        </w:tc>
        <w:tc>
          <w:tcPr>
            <w:tcW w:type="dxa" w:w="3307"/>
          </w:tcPr>
          <w:p>
            <w:r>
              <w:t>0,503</w:t>
            </w:r>
          </w:p>
        </w:tc>
        <w:tc>
          <w:tcPr>
            <w:tcW w:type="dxa" w:w="3307"/>
          </w:tcPr>
          <w:p>
            <w:r>
              <w:t>0,610</w:t>
            </w:r>
          </w:p>
        </w:tc>
      </w:tr>
      <w:tr>
        <w:tc>
          <w:tcPr>
            <w:tcW w:type="dxa" w:w="3307"/>
          </w:tcPr>
          <w:p>
            <w:r>
              <w:t>Embeddings congelados + MLP</w:t>
            </w:r>
          </w:p>
        </w:tc>
        <w:tc>
          <w:tcPr>
            <w:tcW w:type="dxa" w:w="3307"/>
          </w:tcPr>
          <w:p>
            <w:r>
              <w:t>0,570</w:t>
            </w:r>
          </w:p>
        </w:tc>
        <w:tc>
          <w:tcPr>
            <w:tcW w:type="dxa" w:w="3307"/>
          </w:tcPr>
          <w:p>
            <w:r>
              <w:t>0,679</w:t>
            </w:r>
          </w:p>
        </w:tc>
      </w:tr>
      <w:tr>
        <w:tc>
          <w:tcPr>
            <w:tcW w:type="dxa" w:w="3307"/>
          </w:tcPr>
          <w:p>
            <w:r>
              <w:t>Cross-Encoder congelado (atenção cruzada)</w:t>
            </w:r>
          </w:p>
        </w:tc>
        <w:tc>
          <w:tcPr>
            <w:tcW w:type="dxa" w:w="3307"/>
          </w:tcPr>
          <w:p>
            <w:r>
              <w:t>0,617</w:t>
            </w:r>
          </w:p>
        </w:tc>
        <w:tc>
          <w:tcPr>
            <w:tcW w:type="dxa" w:w="3307"/>
          </w:tcPr>
          <w:p>
            <w:r>
              <w:t>0,715</w:t>
            </w:r>
          </w:p>
        </w:tc>
      </w:tr>
      <w:tr>
        <w:tc>
          <w:tcPr>
            <w:tcW w:type="dxa" w:w="3307"/>
          </w:tcPr>
          <w:p>
            <w:r>
              <w:t>Híbrido: BERTimbau congelado + BM25 + MLP</w:t>
            </w:r>
          </w:p>
        </w:tc>
        <w:tc>
          <w:tcPr>
            <w:tcW w:type="dxa" w:w="3307"/>
          </w:tcPr>
          <w:p>
            <w:r>
              <w:t>0,663</w:t>
            </w:r>
          </w:p>
        </w:tc>
        <w:tc>
          <w:tcPr>
            <w:tcW w:type="dxa" w:w="3307"/>
          </w:tcPr>
          <w:p>
            <w:r>
              <w:t>0,753</w:t>
            </w:r>
          </w:p>
        </w:tc>
      </w:tr>
      <w:tr>
        <w:tc>
          <w:tcPr>
            <w:tcW w:type="dxa" w:w="3307"/>
          </w:tcPr>
          <w:p>
            <w:r>
              <w:t>Fine-tuning parcial (tentativa 1, 300 perguntas)</w:t>
            </w:r>
          </w:p>
        </w:tc>
        <w:tc>
          <w:tcPr>
            <w:tcW w:type="dxa" w:w="3307"/>
          </w:tcPr>
          <w:p>
            <w:r>
              <w:t>0,487</w:t>
            </w:r>
          </w:p>
        </w:tc>
        <w:tc>
          <w:tcPr>
            <w:tcW w:type="dxa" w:w="3307"/>
          </w:tcPr>
          <w:p>
            <w:r>
              <w:t>0,606</w:t>
            </w:r>
          </w:p>
        </w:tc>
      </w:tr>
      <w:tr>
        <w:tc>
          <w:tcPr>
            <w:tcW w:type="dxa" w:w="3307"/>
          </w:tcPr>
          <w:p>
            <w:r>
              <w:t>Fine-tuning parcial (tentativa 2, 2.307 perguntas)</w:t>
            </w:r>
          </w:p>
        </w:tc>
        <w:tc>
          <w:tcPr>
            <w:tcW w:type="dxa" w:w="3307"/>
          </w:tcPr>
          <w:p>
            <w:r>
              <w:t>0,690</w:t>
            </w:r>
          </w:p>
        </w:tc>
        <w:tc>
          <w:tcPr>
            <w:tcW w:type="dxa" w:w="3307"/>
          </w:tcPr>
          <w:p>
            <w:r>
              <w:t>0,782</w:t>
            </w:r>
          </w:p>
        </w:tc>
      </w:tr>
    </w:tbl>
    <w:p>
      <w:r>
        <w:rPr>
          <w:b/>
          <w:i/>
        </w:rPr>
        <w:t>4.11. Análise de Erros</w:t>
      </w:r>
    </w:p>
    <w:p>
      <w:r>
        <w:rPr>
          <w:b w:val="0"/>
          <w:i w:val="0"/>
        </w:rPr>
        <w:t>Uma análise qualitativa dos erros do modelo final (fine-tuning parcial) no conjunto de teste revela um padrão sistemático além da métrica agregada. Das 300 perguntas de teste, 93 (31%) tiveram a resposta correta fora da primeira posição do ranking. Em vários desses casos, a mesma resposta candidata, uma fórmula específica de ração de baixo custo ("Uma ração de boa qualidade e de baixo custo é: 80 kg de fubá de milho; 15 kg de farelo de soja; 2 kg de ureia..."), foi erroneamente escolhida como a mais provável para perguntas de assuntos distintos dentro do domínio de nutrição animal. Um exemplo concreto: para a pergunta "queria saber como devo proceder na alimentação das minhas vacas [...] qual melhor horário para fornecer o concentrado? tenho também soro do leite, posso estar fornecendo pra minhas vacas?", o modelo atribuiu a essa resposta um escore de 0,388 (colocando-a em primeiro lugar), contra apenas 0,000 para a resposta correta, que trata de produção a pasto com suplementação de concentrado (posição 38 de 50). O mesmo texto sobre fórmula de ração de baixo custo também foi erroneamente escolhido em primeiro lugar para perguntas sobre época ideal de cobrição pós-parto e sobre manejo de silagem, três perguntas distintas, com três respostas corretas diferentes, mas o mesmo distrator vencendo em todas. A causa provável é a densidade lexical técnica dessa resposta (nomes específicos de insumos e proporções numéricas), que funciona como um "atrator": o classificador aprende a associar presença de vocabulário técnico denso a alta probabilidade de correspondência, mesmo quando o subtema específico da pergunta (frequência de fornecimento, época de cobrição ou filosofia de manejo a pasto) diverge do conteúdo da resposta. Essa limitação não é capturada pelas métricas agregadas: o modelo tende a errar sistematicamente diante de candidatas tecnicamente densas o suficiente para parecerem plausíveis, mesmo após fine-tuning.</w:t>
      </w:r>
    </w:p>
    <w:p>
      <w:pPr>
        <w:spacing w:before="240" w:after="120"/>
      </w:pPr>
      <w:r>
        <w:rPr>
          <w:rFonts w:ascii="Times New Roman" w:hAnsi="Times New Roman"/>
          <w:b/>
          <w:sz w:val="24"/>
        </w:rPr>
        <w:t>5. Conclusão</w:t>
      </w:r>
    </w:p>
    <w:p>
      <w:r>
        <w:rPr>
          <w:b w:val="0"/>
          <w:i w:val="0"/>
        </w:rPr>
        <w:t>Em resposta direta à pergunta de pesquisa formulada na Introdução, este trabalho investigou, em seis configurações progressivamente mais sofisticadas, se modelos de linguagem pré-treinados e técnicas clássicas de recuperação de informação, isoladas ou combinadas, conseguem selecionar, de forma confiável, a resposta correta entre candidatas para perguntas técnicas reais de produtores rurais de pecuária leiteira. A resposta é afirmativa, com nuances importantes sobre onde reside o ganho de desempenho em cada abordagem. Um classificador de pares sobre embeddings do BERTimbau congelado já supera substancialmente o acaso e a similaridade de cosseno pura (Accuracy@1 = 0,570 contra 0,020 e 0,277, respectivamente); um baseline puramente lexical (TF-IDF, sem qualquer modelo de linguagem) supera a similaridade de cosseno bruta do BERTimbau não treinado, evidenciando que o embedding pré-treinado, por si só, não garante vantagem sobre métodos estatísticos clássicos neste domínio de vocabulário técnico compartilhado; a fusão explícita desse sinal lexical (BM25) ao vetor denso do BERTimbau eleva o desempenho a 0,663 de Accuracy@1 sem qualquer ajuste de pesos do modelo de linguagem; a arquitetura Cross-Encoder, cuja self-attention opera conjuntamente sobre pergunta e candidata concatenadas, atinge 0,617 também sem fine-tuning, superando o bi-encoder congelado equivalente unicamente pela mudança arquitetural; e o fine-tuning parcial do BERTimbau, quando treinado com volume de dado suficiente, alcança o melhor resultado isolado (0,690), com síntese completa na Tabela 7.</w:t>
      </w:r>
    </w:p>
    <w:p>
      <w:r>
        <w:rPr>
          <w:b w:val="0"/>
          <w:i w:val="0"/>
        </w:rPr>
        <w:t>Um sexto experimento demonstrou que esses ganhos não precisam ser mutuamente exclusivos do custo computacional: um pipeline multi-estágio, em que o BM25 filtra rapidamente as candidatas mais promissoras e o Cross-Encoder reranqueia apenas essas, recupera quase toda a qualidade do Cross-Encoder aplicado ao conjunto completo (perda de apenas 0,027 de Accuracy@1 com K = 10) por uma fração do custo computacional (80% menos chamadas ao modelo de linguagem), princípio de arquitetura de recuperação de informação em produção aqui demonstrado em escala reduzida, mas diretamente generalizável a cenários com pools de candidatos maiores do que os 50 do MilkQA.</w:t>
      </w:r>
    </w:p>
    <w:p>
      <w:r>
        <w:rPr>
          <w:b w:val="0"/>
          <w:i w:val="0"/>
        </w:rPr>
        <w:t>As principais limitações deste trabalho são: o truncamento de texto em 256 tokens (128 nas variantes com fine-tuning e Cross-Encoder), que descarta informação de cauda em respostas mais longas (até 682 palavras no dataset). Na prática, contudo, observa-se que, no domínio de suporte técnico, o cerne da resolução (nomes de medicamento, ações imediatas de manejo) concentra-se com frequência nos parágrafos iniciais, mitigando o impacto prático dessa perda de contexto; a extração de embeddings por mean pooling restrito à última camada oculta do BERTimbau, em vez de agregações multi-camada (por exemplo, a soma das quatro últimas camadas) empregadas em parte da literatura como alternativa potencialmente mais robusta; a amostragem aleatória de negativos de treino na maioria das variantes (com exceção do hard negative mining, testado sem ganho estatístico significativo); o congelamento do backbone nas variantes de Cross-Encoder e híbrida, que isola o efeito arquitetural mas não explora o potencial adicional de combinar essas arquiteturas com fine-tuning; e a ausência de comparação com uma API comercial de LLM, decisão metodológica justificada na Fase 1 deste projeto por critérios de custo, latência, privacidade, determinismo e eficiência computacional em um cenário de uso real (aplicação embarcada em um software de gestão para fazendas leiteiras).</w:t>
      </w:r>
    </w:p>
    <w:p>
      <w:r>
        <w:rPr>
          <w:b w:val="0"/>
          <w:i w:val="0"/>
        </w:rPr>
        <w:t>Como trabalhos futuros, destacam-se: (i) combinar fine-tuning parcial com a arquitetura Cross-Encoder ou com a fusão híbrida BM25, testando se os ganhos de cada dimensão (dados, arquitetura, sinal lexical) se acumulam; (ii) avaliar o pipeline multi-estágio em pools de candidatos maiores que os 50 do MilkQA, cenário em que a economia computacional do filtro BM25 se torna proporcionalmente mais relevante; (iii) testar a integração deste sistema como camada de recuperação (retriever) num pipeline RAG (Retrieval-Augmented Generation) junto a um modelo generativo, conforme delineado na proposta deste projeto; e (iv) validar a robustez do sistema com perguntas fora do vocabulário técnico observado no conjunto de treino, replicando o cenário de um produtor descrevendo um problema com termos não especializados.</w:t>
      </w:r>
    </w:p>
    <w:p>
      <w:pPr>
        <w:spacing w:before="240" w:after="120"/>
      </w:pPr>
      <w:r>
        <w:rPr>
          <w:rFonts w:ascii="Times New Roman" w:hAnsi="Times New Roman"/>
          <w:b/>
          <w:sz w:val="24"/>
        </w:rPr>
        <w:t>Referências</w:t>
      </w:r>
    </w:p>
    <w:p>
      <w:r>
        <w:t>Código-fonte disponível em: https://github.com/fredmartins12/AgroSele-MilkQA</w:t>
      </w:r>
    </w:p>
    <w:p>
      <w:r>
        <w:rPr>
          <w:b w:val="0"/>
          <w:i w:val="0"/>
        </w:rPr>
        <w:t>CONNEAU, A.; KIELA, D.; SCHWENK, H.; BARRAULT, L.; BORDES, A. Supervised Learning of Universal Sentence Representations from Natural Language Inference Data. In: Proceedings of EMNLP 2017.</w:t>
      </w:r>
    </w:p>
    <w:p>
      <w:r>
        <w:rPr>
          <w:b w:val="0"/>
          <w:i w:val="0"/>
        </w:rPr>
        <w:t>CRISCUOLO, M.; FONSECA, E. R.; ALUÍSIO, S. M.; SPERANÇA-CRISCUOLO, A. C. MilkQA: a Dataset of Consumer Questions for the Task of Answer Selection. arXiv:1801.03460, 2018.</w:t>
      </w:r>
    </w:p>
    <w:p>
      <w:r>
        <w:rPr>
          <w:b w:val="0"/>
          <w:i w:val="0"/>
        </w:rPr>
        <w:t>DEVLIN, J.; CHANG, M.-W.; LEE, K.; TOUTANOVA, K. BERT: Pre-training of Deep Bidirectional Transformers for Language Understanding. In: Proceedings of NAACL-HLT 2019.</w:t>
      </w:r>
    </w:p>
    <w:p>
      <w:r>
        <w:t>DIDWANIA, K.; SETH, P.; KASLIWAL, A.; AGARWAL, A. AgriLLM: Harnessing Transformers for Farmer Queries. arXiv:2407.04721, 2024.</w:t>
      </w:r>
    </w:p>
    <w:p>
      <w:r>
        <w:t>JAIN, N.; JAIN, P.; KAYAL, P.; SAHIT, J.; PACHPANDE, S.; CHOUDHARI, J.; SINGH, M. Agribot: agriculture-specific question answer system. arXiv:2509.21535, 2025.</w:t>
      </w:r>
    </w:p>
    <w:p>
      <w:r>
        <w:t>LI, D.; YU, Y.; CHEN, Q.; LI, X. BERTSel: Answer Selection with Pre-trained Models. arXiv:1905.07588, 2019.</w:t>
      </w:r>
    </w:p>
    <w:p>
      <w:r>
        <w:t>MOZAFARI, J.; FATEMI, A.; NEMATBAKHSH, M. A. BAS: An Answer Selection Method Using BERT Language Model. arXiv:1911.01528, 2019.</w:t>
      </w:r>
    </w:p>
    <w:p>
      <w:r>
        <w:t>VIJAYVARGIA, A.; NAGPAL, A.; PUNDALIK, K.; SAVARKAR, A.; GAUTAM, S.; SINGH, P.; SALUJA, R.; RAMAKRISHNAN, G. Intent Aware Context Retrieval for Multi-Turn Agricultural Question Answering (Krishi Sathi). arXiv:2508.03719, 2025.</w:t>
      </w:r>
    </w:p>
    <w:p>
      <w:r>
        <w:rPr>
          <w:b w:val="0"/>
          <w:i w:val="0"/>
        </w:rPr>
        <w:t>NOGUEIRA, R.; CHO, K. Passage Re-ranking with BERT. arXiv:1901.04085, 2019.</w:t>
      </w:r>
    </w:p>
    <w:p>
      <w:r>
        <w:rPr>
          <w:b w:val="0"/>
          <w:i w:val="0"/>
        </w:rPr>
        <w:t>PASZKE, A. et al. PyTorch: An Imperative Style, High-Performance Deep Learning Library. In: Advances in Neural Information Processing Systems 32 (NeurIPS 2019).</w:t>
      </w:r>
    </w:p>
    <w:p>
      <w:r>
        <w:rPr>
          <w:b w:val="0"/>
          <w:i w:val="0"/>
        </w:rPr>
        <w:t>REIMERS, N.; GUREVYCH, I. Sentence-BERT: Sentence Embeddings using Siamese BERT-Networks. In: Proceedings of EMNLP-IJCNLP 2019.</w:t>
      </w:r>
    </w:p>
    <w:p>
      <w:r>
        <w:rPr>
          <w:b w:val="0"/>
          <w:i w:val="0"/>
        </w:rPr>
        <w:t>ROBERTSON, S.; ZARAGOZA, H. The Probabilistic Relevance Framework: BM25 and Beyond. Foundations and Trends in Information Retrieval, v. 3, n. 4, 2009.</w:t>
      </w:r>
    </w:p>
    <w:p>
      <w:r>
        <w:rPr>
          <w:b w:val="0"/>
          <w:i w:val="0"/>
        </w:rPr>
        <w:t>SALTON, G.; WONG, A.; YANG, C. S. A Vector Space Model for Automatic Indexing. Communications of the ACM, v. 18, n. 11, 1975.</w:t>
      </w:r>
    </w:p>
    <w:p>
      <w:r>
        <w:rPr>
          <w:b w:val="0"/>
          <w:i w:val="0"/>
        </w:rPr>
        <w:t>SOUZA, F.; NOGUEIRA, R.; LOTUFO, R. BERTimbau: Pretrained BERT Models for Brazilian Portuguese. In: Proceedings of BRACIS 2020.</w:t>
      </w:r>
    </w:p>
    <w:p>
      <w:r>
        <w:rPr>
          <w:b w:val="0"/>
          <w:i w:val="0"/>
        </w:rPr>
        <w:t>WOLF, T. et al. Transformers: State-of-the-Art Natural Language Processing. In: Proceedings of EMNLP 2020: System Demonstrations.</w:t>
      </w:r>
    </w:p>
    <w:p>
      <w:pPr>
        <w:spacing w:after="80"/>
      </w:pPr>
    </w:p>
    <w:sectPr w:rsidR="00FC693F" w:rsidRPr="0006063C" w:rsidSect="00034616">
      <w:type w:val="continuous"/>
      <w:pgSz w:w="11906" w:h="16838"/>
      <w:pgMar w:top="1417" w:right="992" w:bottom="1417" w:left="992" w:header="720" w:footer="720" w:gutter="0"/>
      <w:cols w:num="2" w:space="19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