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lineRule="auto" w:line="240" w:before="180" w:after="180"/>
        <w:jc w:val="center"/>
        <w:rPr>
          <w:rFonts w:ascii="Times New Roman" w:hAnsi="Times New Roman"/>
          <w:b/>
          <w:b/>
          <w:bCs/>
          <w:lang w:val="pt-BR"/>
        </w:rPr>
      </w:pPr>
      <w:r>
        <w:rPr>
          <w:rFonts w:ascii="Times New Roman" w:hAnsi="Times New Roman"/>
          <w:b/>
          <w:bCs/>
          <w:lang w:val="pt-BR"/>
        </w:rPr>
        <w:t>Coerência, modernismo e nacionalismo: o politonalismo de Guerra-Peixe</w:t>
      </w:r>
    </w:p>
    <w:p>
      <w:pPr>
        <w:pStyle w:val="Corpodotexto"/>
        <w:spacing w:lineRule="auto" w:line="240"/>
        <w:jc w:val="center"/>
        <w:rPr>
          <w:rFonts w:ascii="Times New Roman" w:hAnsi="Times New Roman"/>
          <w:lang w:val="pt-BR"/>
        </w:rPr>
      </w:pPr>
      <w:r>
        <w:rPr>
          <w:rFonts w:ascii="Times New Roman" w:hAnsi="Times New Roman"/>
          <w:lang w:val="pt-BR"/>
        </w:rPr>
      </w:r>
    </w:p>
    <w:p>
      <w:pPr>
        <w:pStyle w:val="Corpodotexto"/>
        <w:spacing w:lineRule="auto" w:line="240"/>
        <w:jc w:val="right"/>
        <w:rPr>
          <w:rFonts w:ascii="Times New Roman" w:hAnsi="Times New Roman"/>
          <w:lang w:val="pt-BR"/>
        </w:rPr>
      </w:pPr>
      <w:r>
        <w:rPr>
          <w:rFonts w:ascii="Times New Roman" w:hAnsi="Times New Roman"/>
          <w:lang w:val="pt-BR"/>
        </w:rPr>
        <w:t>Frederico Barros</w:t>
      </w:r>
    </w:p>
    <w:p>
      <w:pPr>
        <w:pStyle w:val="Corpodotexto"/>
        <w:spacing w:lineRule="auto" w:line="240"/>
        <w:jc w:val="right"/>
        <w:rPr>
          <w:rFonts w:ascii="Times New Roman" w:hAnsi="Times New Roman"/>
          <w:lang w:val="pt-BR"/>
        </w:rPr>
      </w:pPr>
      <w:r>
        <w:rPr>
          <w:rFonts w:ascii="Times New Roman" w:hAnsi="Times New Roman"/>
          <w:lang w:val="pt-BR"/>
        </w:rPr>
        <w:t>Escola de Música, UFRJ</w:t>
      </w:r>
    </w:p>
    <w:p>
      <w:pPr>
        <w:pStyle w:val="Corpodotexto"/>
        <w:spacing w:lineRule="auto" w:line="240"/>
        <w:jc w:val="right"/>
        <w:rPr>
          <w:rFonts w:ascii="Times New Roman" w:hAnsi="Times New Roman"/>
        </w:rPr>
      </w:pPr>
      <w:hyperlink r:id="rId2">
        <w:r>
          <w:rPr>
            <w:rStyle w:val="LinkdaInternet"/>
            <w:rFonts w:ascii="Times New Roman" w:hAnsi="Times New Roman"/>
            <w:lang w:val="pt-BR"/>
          </w:rPr>
          <w:t>contato@fredericobarros.com</w:t>
        </w:r>
      </w:hyperlink>
    </w:p>
    <w:p>
      <w:pPr>
        <w:pStyle w:val="Corpodotexto"/>
        <w:spacing w:lineRule="auto" w:line="240"/>
        <w:jc w:val="both"/>
        <w:rPr>
          <w:rFonts w:ascii="Times New Roman" w:hAnsi="Times New Roman"/>
          <w:lang w:val="pt-BR"/>
        </w:rPr>
      </w:pPr>
      <w:r>
        <w:rPr>
          <w:rFonts w:ascii="Times New Roman" w:hAnsi="Times New Roman"/>
          <w:lang w:val="pt-BR"/>
        </w:rPr>
      </w:r>
    </w:p>
    <w:p>
      <w:pPr>
        <w:pStyle w:val="Compact"/>
        <w:numPr>
          <w:ilvl w:val="0"/>
          <w:numId w:val="1"/>
        </w:numPr>
        <w:spacing w:lineRule="auto" w:line="360"/>
        <w:jc w:val="both"/>
        <w:rPr>
          <w:rFonts w:ascii="Times New Roman" w:hAnsi="Times New Roman"/>
          <w:lang w:val="pt-BR"/>
        </w:rPr>
      </w:pPr>
      <w:r>
        <w:rPr>
          <w:rFonts w:ascii="Times New Roman" w:hAnsi="Times New Roman"/>
          <w:lang w:val="pt-BR"/>
        </w:rPr>
        <w:t>O problema da coerência</w:t>
      </w:r>
    </w:p>
    <w:p>
      <w:pPr>
        <w:pStyle w:val="FirstParagraph"/>
        <w:spacing w:lineRule="auto" w:line="360"/>
        <w:jc w:val="both"/>
        <w:rPr>
          <w:rFonts w:ascii="Times New Roman" w:hAnsi="Times New Roman"/>
          <w:lang w:val="pt-BR"/>
        </w:rPr>
      </w:pPr>
      <w:r>
        <w:rPr>
          <w:rFonts w:ascii="Times New Roman" w:hAnsi="Times New Roman"/>
          <w:lang w:val="pt-BR"/>
        </w:rPr>
        <w:t>No Brasil dos anos 1940 e 50, a ideia de uma música de concerto “avançada” tendia a ser associada a uma linguagem harmônica que tivesse incorporado o total cromático a seu vocabulário e dele fizesse uso ostensivo. Apenas entre os círculos ligados ao Partido Comunista a ideia de progressismo artístico estava ancorada na realização de uma música para as “massas”, positiva e portadora de valores voltados à sociedade que estaria por vir, portanto para quem se colocasse numa perspectiva mais distante desse conjunto de ideias ou raciocinasse de um ponto de vista puramente técnico, afastar-se do atonalismo poderia significar uma espécie de capitulação.</w:t>
      </w:r>
      <w:r>
        <w:rPr>
          <w:rStyle w:val="Ncoradanotaderodap"/>
          <w:rFonts w:ascii="Times New Roman" w:hAnsi="Times New Roman"/>
          <w:lang w:val="pt-BR"/>
        </w:rPr>
        <w:footnoteReference w:id="2"/>
      </w:r>
    </w:p>
    <w:p>
      <w:pPr>
        <w:pStyle w:val="Corpodotexto"/>
        <w:spacing w:lineRule="auto" w:line="360"/>
        <w:jc w:val="both"/>
        <w:rPr>
          <w:rFonts w:ascii="Times New Roman" w:hAnsi="Times New Roman"/>
          <w:lang w:val="pt-BR"/>
        </w:rPr>
      </w:pPr>
      <w:r>
        <w:rPr>
          <w:rFonts w:ascii="Times New Roman" w:hAnsi="Times New Roman"/>
          <w:lang w:val="pt-BR"/>
        </w:rPr>
        <w:t>Esta era, em linhas gerais, a situação em que César Guerra-Peixe se encontrava no fim da década de 1940 ao abandonar o dodecafonismo em favor da criação de uma música de bases nacionais. Preocupava-se em tornar-se nacionalista sem ser atraído para a órbita de Villa-Lobos (ver BARROS, 2013, cap. 1, seção 1.1) e para isso procurava uma forma de trabalhar materiais que julgava terem caráter brasileiro que fosse ao mesmo tempo afinada com os referenciais da música de concerto do século XX. O problema se torna ainda mais agudo se lembramos da importância que noções como coerência e lógica construtiva têm na tradição de concerto. Originado em outra tradição, o elemento folclórico tenderia a ser sentido como operando, ao menos em certa medida, em outras bases, via de regra essa diferença sendo decodificada na chave de uma discrepância de complexidade entre tratamento e materiais. Tudo isso tendia a criar uma espécie de trabalho extra para fazer esses elementos se encontrarem, e Guerra-Peixe chegou a declarar que considerava a “transposição dos elementos populares para a música erudita” um problema “maior que o dodecafônico” (GUERRA-PEIXE, 1951).</w:t>
      </w:r>
    </w:p>
    <w:p>
      <w:pPr>
        <w:pStyle w:val="Corpodotexto"/>
        <w:spacing w:lineRule="auto" w:line="360"/>
        <w:jc w:val="both"/>
        <w:rPr>
          <w:rFonts w:ascii="Times New Roman" w:hAnsi="Times New Roman"/>
          <w:lang w:val="pt-BR"/>
        </w:rPr>
      </w:pPr>
      <w:r>
        <w:rPr>
          <w:rFonts w:ascii="Times New Roman" w:hAnsi="Times New Roman"/>
          <w:lang w:val="pt-BR"/>
        </w:rPr>
        <w:t xml:space="preserve">Para discutir o tema, vale pegar uma de suas primeiras peças na fase nacionalista, a recém-composta Suíte para quarteto ou orquestra de cordas, sobre o qual escreveu em 1949: “Compus no Recife, experimentando as danças nacionais. Não é composição dodecafônica, pelo contrário empreguei certas </w:t>
      </w:r>
      <w:r>
        <w:rPr>
          <w:rFonts w:ascii="Times New Roman" w:hAnsi="Times New Roman"/>
          <w:i/>
          <w:lang w:val="pt-BR"/>
        </w:rPr>
        <w:t>constâncias da harmonia popular brasileira</w:t>
      </w:r>
      <w:r>
        <w:rPr>
          <w:rFonts w:ascii="Times New Roman" w:hAnsi="Times New Roman"/>
          <w:lang w:val="pt-BR"/>
        </w:rPr>
        <w:t>.” (GUERRA-PEIXE, 1949)</w:t>
      </w:r>
    </w:p>
    <w:p>
      <w:pPr>
        <w:pStyle w:val="Corpodotexto"/>
        <w:spacing w:lineRule="auto" w:line="360"/>
        <w:jc w:val="both"/>
        <w:rPr>
          <w:rFonts w:ascii="Times New Roman" w:hAnsi="Times New Roman"/>
          <w:lang w:val="pt-BR"/>
        </w:rPr>
      </w:pPr>
      <w:r>
        <w:rPr>
          <w:rFonts w:ascii="Times New Roman" w:hAnsi="Times New Roman"/>
          <w:lang w:val="pt-BR"/>
        </w:rPr>
        <w:t>Ainda que não saibamos bem o que seriam estas “constâncias da harmonia popular brasileira” na obra, já em seus compassos iniciais a peça parece se ligar a referenciais harmônicos um tanto distantes do que se imagina como caracterisicamente brasileiro:</w:t>
      </w:r>
    </w:p>
    <w:p>
      <w:pPr>
        <w:pStyle w:val="Corpodotexto"/>
        <w:spacing w:lineRule="auto" w:line="360"/>
        <w:jc w:val="both"/>
        <w:rPr>
          <w:rFonts w:ascii="Times New Roman" w:hAnsi="Times New Roman"/>
          <w:lang w:val="pt-BR"/>
        </w:rPr>
      </w:pPr>
      <w:r>
        <w:rPr>
          <w:rFonts w:ascii="Times New Roman" w:hAnsi="Times New Roman"/>
          <w:lang w:val="pt-BR"/>
        </w:rPr>
      </w:r>
      <w:r>
        <mc:AlternateContent>
          <mc:Choice Requires="wps">
            <w:drawing>
              <wp:inline distT="0" distB="0" distL="114935" distR="114935">
                <wp:extent cx="5334000" cy="1660525"/>
                <wp:effectExtent l="0" t="0" r="0" b="0"/>
                <wp:docPr id="1" name="Quadro2"/>
                <a:graphic xmlns:a="http://schemas.openxmlformats.org/drawingml/2006/main">
                  <a:graphicData uri="http://schemas.microsoft.com/office/word/2010/wordprocessingShape">
                    <wps:wsp>
                      <wps:cNvSpPr txBox="1"/>
                      <wps:spPr>
                        <a:xfrm>
                          <a:off x="0" y="0"/>
                          <a:ext cx="5334000" cy="1660525"/>
                        </a:xfrm>
                        <a:prstGeom prst="rect"/>
                      </wps:spPr>
                      <wps:txbx>
                        <w:txbxContent>
                          <w:p>
                            <w:pPr>
                              <w:pStyle w:val="Figura"/>
                              <w:spacing w:before="0" w:after="200"/>
                              <w:rPr/>
                            </w:pPr>
                            <w:r>
                              <w:rPr/>
                              <w:drawing>
                                <wp:inline distT="0" distB="0" distL="0" distR="0">
                                  <wp:extent cx="5334000" cy="109093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334000" cy="1090930"/>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1</w:t>
                            </w:r>
                            <w:r>
                              <w:rPr/>
                              <w:fldChar w:fldCharType="end"/>
                            </w:r>
                            <w:r>
                              <w:rPr/>
                              <w:t>: César Guerra-Peixe: Suíte para Quarteto ou Orquestra de Cordas, Maracatu (redução minha - algumas indicações foram suprimidas)</w:t>
                            </w:r>
                          </w:p>
                        </w:txbxContent>
                      </wps:txbx>
                      <wps:bodyPr anchor="t" lIns="0" tIns="0" rIns="0" bIns="0">
                        <a:noAutofit/>
                      </wps:bodyPr>
                    </wps:wsp>
                  </a:graphicData>
                </a:graphic>
              </wp:inline>
            </w:drawing>
          </mc:Choice>
          <mc:Fallback>
            <w:pict>
              <v:rect style="position:absolute;rotation:0;width:420pt;height:130.75pt;mso-wrap-distance-left:9.05pt;mso-wrap-distance-right:9.05pt;mso-wrap-distance-top:0pt;mso-wrap-distance-bottom:0pt;margin-top:-130.75pt;mso-position-vertical:top;mso-position-vertical-relative:text;margin-left:0pt;mso-position-horizontal:center;mso-position-horizontal-relative:text">
                <v:textbox inset="0in,0in,0in,0in">
                  <w:txbxContent>
                    <w:p>
                      <w:pPr>
                        <w:pStyle w:val="Figura"/>
                        <w:spacing w:before="0" w:after="200"/>
                        <w:rPr/>
                      </w:pPr>
                      <w:r>
                        <w:rPr/>
                        <w:drawing>
                          <wp:inline distT="0" distB="0" distL="0" distR="0">
                            <wp:extent cx="5334000" cy="109093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
                                    <a:stretch>
                                      <a:fillRect/>
                                    </a:stretch>
                                  </pic:blipFill>
                                  <pic:spPr bwMode="auto">
                                    <a:xfrm>
                                      <a:off x="0" y="0"/>
                                      <a:ext cx="5334000" cy="1090930"/>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1</w:t>
                      </w:r>
                      <w:r>
                        <w:rPr/>
                        <w:fldChar w:fldCharType="end"/>
                      </w:r>
                      <w:r>
                        <w:rPr/>
                        <w:t>: César Guerra-Peixe: Suíte para Quarteto ou Orquestra de Cordas, Maracatu (redução minha - algumas indicações foram suprimidas)</w:t>
                      </w:r>
                    </w:p>
                  </w:txbxContent>
                </v:textbox>
                <w10:wrap type="square" side="largest"/>
              </v:rect>
            </w:pict>
          </mc:Fallback>
        </mc:AlternateContent>
      </w:r>
    </w:p>
    <w:p>
      <w:pPr>
        <w:pStyle w:val="Corpodotexto"/>
        <w:spacing w:lineRule="auto" w:line="360"/>
        <w:jc w:val="both"/>
        <w:rPr>
          <w:rFonts w:ascii="Times New Roman" w:hAnsi="Times New Roman"/>
          <w:lang w:val="pt-BR"/>
        </w:rPr>
      </w:pPr>
      <w:r>
        <w:rPr>
          <w:rFonts w:ascii="Times New Roman" w:hAnsi="Times New Roman"/>
          <w:lang w:val="pt-BR"/>
        </w:rPr>
        <w:t>O trecho é todo atravessado por uma forma de polimodalidade. Um efeito curioso que Guerra-Peixe cria é o movimento de terças paralelas no ostinato na região grave, que segue indiferente à lógica diatônica do modo. Além disso, apesar de não haver propriamente “conflitos” de harmonização ou modo entre o ostinato grave e as vozes superiores, a melodia dos primeiros violinos parece sugerir Si como centro, e não o Mi da harmonia. Isso fica particularmente claro logo no início, quando é feito o glissando lá-si, que soa como um movimento cadencial de subtônica para tônica, desenhando uma resolução em Si mixolídio que evoca uma sonoridade nordestina até um pouco estereotipada. Ainda assim, o mi mais grave tocado pelos segundos violinos, formando uma quinta aberta, tenderia a colocar o centro novamente em Mi, o que acaba sendo compensado pelo fato de que neste momento a harmonia vai para Sol antes de retornar ao Mi em torno do qual o trecho se polariza, mantendo ainda, portanto, alguma ambiguidade.</w:t>
      </w:r>
    </w:p>
    <w:p>
      <w:pPr>
        <w:pStyle w:val="Corpodotexto"/>
        <w:spacing w:lineRule="auto" w:line="360"/>
        <w:jc w:val="both"/>
        <w:rPr>
          <w:rFonts w:ascii="Times New Roman" w:hAnsi="Times New Roman"/>
          <w:lang w:val="pt-BR"/>
        </w:rPr>
      </w:pPr>
      <w:r>
        <w:rPr>
          <w:rFonts w:ascii="Times New Roman" w:hAnsi="Times New Roman"/>
          <w:lang w:val="pt-BR"/>
        </w:rPr>
        <w:t>Também no Pedinte, terceiro movimento da Suíte n</w:t>
      </w:r>
      <w:r>
        <w:rPr>
          <w:rFonts w:ascii="Times New Roman" w:hAnsi="Times New Roman"/>
          <w:vertAlign w:val="superscript"/>
          <w:lang w:val="pt-BR"/>
        </w:rPr>
        <w:t>o</w:t>
      </w:r>
      <w:r>
        <w:rPr>
          <w:rFonts w:ascii="Times New Roman" w:hAnsi="Times New Roman"/>
          <w:lang w:val="pt-BR"/>
        </w:rPr>
        <w:t xml:space="preserve"> 2 – Nordestina, para piano, de 1954, vemos mais uma vez sobreposições de modos diferentes:</w:t>
      </w:r>
    </w:p>
    <w:p>
      <w:pPr>
        <w:pStyle w:val="Figura"/>
        <w:spacing w:lineRule="auto" w:line="360"/>
        <w:jc w:val="both"/>
        <w:rPr>
          <w:rFonts w:ascii="Times New Roman" w:hAnsi="Times New Roman"/>
          <w:lang w:val="pt-BR"/>
        </w:rPr>
      </w:pPr>
      <w:r>
        <w:rPr>
          <w:rFonts w:ascii="Times New Roman" w:hAnsi="Times New Roman"/>
          <w:lang w:val="pt-BR"/>
        </w:rPr>
      </w:r>
      <w:r>
        <mc:AlternateContent>
          <mc:Choice Requires="wps">
            <w:drawing>
              <wp:inline distT="0" distB="0" distL="114935" distR="114935">
                <wp:extent cx="4679950" cy="3012440"/>
                <wp:effectExtent l="0" t="0" r="0" b="0"/>
                <wp:docPr id="4" name="Quadro1"/>
                <a:graphic xmlns:a="http://schemas.openxmlformats.org/drawingml/2006/main">
                  <a:graphicData uri="http://schemas.microsoft.com/office/word/2010/wordprocessingShape">
                    <wps:wsp>
                      <wps:cNvSpPr txBox="1"/>
                      <wps:spPr>
                        <a:xfrm>
                          <a:off x="0" y="0"/>
                          <a:ext cx="4679950" cy="3012440"/>
                        </a:xfrm>
                        <a:prstGeom prst="rect"/>
                      </wps:spPr>
                      <wps:txbx>
                        <w:txbxContent>
                          <w:p>
                            <w:pPr>
                              <w:pStyle w:val="Figura"/>
                              <w:spacing w:before="0" w:after="200"/>
                              <w:rPr/>
                            </w:pPr>
                            <w:r>
                              <w:rPr/>
                              <w:drawing>
                                <wp:inline distT="0" distB="0" distL="0" distR="0">
                                  <wp:extent cx="4679950" cy="2620645"/>
                                  <wp:effectExtent l="0" t="0" r="0" b="0"/>
                                  <wp:docPr id="5"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descr=""/>
                                          <pic:cNvPicPr>
                                            <a:picLocks noChangeAspect="1" noChangeArrowheads="1"/>
                                          </pic:cNvPicPr>
                                        </pic:nvPicPr>
                                        <pic:blipFill>
                                          <a:blip r:embed="rId4"/>
                                          <a:stretch>
                                            <a:fillRect/>
                                          </a:stretch>
                                        </pic:blipFill>
                                        <pic:spPr bwMode="auto">
                                          <a:xfrm>
                                            <a:off x="0" y="0"/>
                                            <a:ext cx="4679950" cy="2620645"/>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2</w:t>
                            </w:r>
                            <w:r>
                              <w:rPr/>
                              <w:fldChar w:fldCharType="end"/>
                            </w:r>
                            <w:r>
                              <w:rPr/>
                              <w:t>: Figura 2. César Guerra-Peixe: Suíte para piano n. 2, Pedinte</w:t>
                            </w:r>
                          </w:p>
                        </w:txbxContent>
                      </wps:txbx>
                      <wps:bodyPr anchor="t" lIns="0" tIns="0" rIns="0" bIns="0">
                        <a:noAutofit/>
                      </wps:bodyPr>
                    </wps:wsp>
                  </a:graphicData>
                </a:graphic>
              </wp:inline>
            </w:drawing>
          </mc:Choice>
          <mc:Fallback>
            <w:pict>
              <v:rect style="position:absolute;rotation:0;width:368.5pt;height:237.2pt;mso-wrap-distance-left:9.05pt;mso-wrap-distance-right:9.05pt;mso-wrap-distance-top:0pt;mso-wrap-distance-bottom:0pt;margin-top:-237.2pt;mso-position-vertical:top;mso-position-vertical-relative:text;margin-left:0pt;mso-position-horizontal:center;mso-position-horizontal-relative:text">
                <v:textbox inset="0in,0in,0in,0in">
                  <w:txbxContent>
                    <w:p>
                      <w:pPr>
                        <w:pStyle w:val="Figura"/>
                        <w:spacing w:before="0" w:after="200"/>
                        <w:rPr/>
                      </w:pPr>
                      <w:r>
                        <w:rPr/>
                        <w:drawing>
                          <wp:inline distT="0" distB="0" distL="0" distR="0">
                            <wp:extent cx="4679950" cy="2620645"/>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4"/>
                                    <a:stretch>
                                      <a:fillRect/>
                                    </a:stretch>
                                  </pic:blipFill>
                                  <pic:spPr bwMode="auto">
                                    <a:xfrm>
                                      <a:off x="0" y="0"/>
                                      <a:ext cx="4679950" cy="2620645"/>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2</w:t>
                      </w:r>
                      <w:r>
                        <w:rPr/>
                        <w:fldChar w:fldCharType="end"/>
                      </w:r>
                      <w:r>
                        <w:rPr/>
                        <w:t>: Figura 2. César Guerra-Peixe: Suíte para piano n. 2, Pedinte</w:t>
                      </w:r>
                    </w:p>
                  </w:txbxContent>
                </v:textbox>
                <w10:wrap type="square" side="largest"/>
              </v:rect>
            </w:pict>
          </mc:Fallback>
        </mc:AlternateContent>
      </w:r>
    </w:p>
    <w:p>
      <w:pPr>
        <w:pStyle w:val="FirstParagraph"/>
        <w:spacing w:lineRule="auto" w:line="360"/>
        <w:jc w:val="both"/>
        <w:rPr>
          <w:rFonts w:ascii="Times New Roman" w:hAnsi="Times New Roman"/>
          <w:lang w:val="pt-BR"/>
        </w:rPr>
      </w:pPr>
      <w:r>
        <w:rPr>
          <w:rFonts w:ascii="Times New Roman" w:hAnsi="Times New Roman"/>
          <w:lang w:val="pt-BR"/>
        </w:rPr>
        <w:t xml:space="preserve">Nos dois primeiros compassos mostrados na figura, a mão esquerda toca um ostinato em Sol mixolídio, organizado primeiro pela sobreposição de quintas (sol-ré-lá) e depois subindo por graus conjuntos mas contendo um </w:t>
      </w:r>
      <w:r>
        <w:rPr>
          <w:rFonts w:ascii="Times New Roman" w:hAnsi="Times New Roman"/>
          <w:b/>
          <w:lang w:val="pt-BR"/>
        </w:rPr>
        <w:t>si b</w:t>
      </w:r>
      <w:r>
        <w:rPr>
          <w:rFonts w:ascii="Times New Roman" w:hAnsi="Times New Roman"/>
          <w:lang w:val="pt-BR"/>
        </w:rPr>
        <w:t xml:space="preserve">, a sétima “seca” produzida junto com o lá fazendo uma espécie de pontuação mais percussiva que harmônica. Sobre esse Sol mixolídio, o motivo principal da peça faz o movimento descendente </w:t>
      </w:r>
      <w:r>
        <w:rPr>
          <w:rFonts w:ascii="Times New Roman" w:hAnsi="Times New Roman"/>
          <w:b/>
          <w:lang w:val="pt-BR"/>
        </w:rPr>
        <w:t>ré-dó#-si-lá-sol</w:t>
      </w:r>
      <w:r>
        <w:rPr>
          <w:rFonts w:ascii="Times New Roman" w:hAnsi="Times New Roman"/>
          <w:lang w:val="pt-BR"/>
        </w:rPr>
        <w:t xml:space="preserve">, que sugere o modo lídio. É interessante observar a exploração das características dos modos: Guerra-Peixe escolhe o som típico do lídio na música nordestina brasileira ao colocar na síncope a quarta aumentada, dando-lhe proeminência métrica; ao mesmo tempo, o ostinato ascendente na mão esquerda coloca o </w:t>
      </w:r>
      <w:r>
        <w:rPr>
          <w:rFonts w:ascii="Times New Roman" w:hAnsi="Times New Roman"/>
          <w:b/>
          <w:lang w:val="pt-BR"/>
        </w:rPr>
        <w:t>fá bequadro</w:t>
      </w:r>
      <w:r>
        <w:rPr>
          <w:rFonts w:ascii="Times New Roman" w:hAnsi="Times New Roman"/>
          <w:lang w:val="pt-BR"/>
        </w:rPr>
        <w:t xml:space="preserve"> em destaque ao atingi-lo por movimento ascendente, repetindo também um uso bastante comum do mixolídio.</w:t>
      </w:r>
      <w:r>
        <w:rPr>
          <w:rStyle w:val="Ncoradanotaderodap"/>
          <w:rFonts w:ascii="Times New Roman" w:hAnsi="Times New Roman"/>
          <w:lang w:val="pt-BR"/>
        </w:rPr>
        <w:footnoteReference w:id="3"/>
      </w:r>
      <w:r>
        <w:rPr>
          <w:rFonts w:ascii="Times New Roman" w:hAnsi="Times New Roman"/>
          <w:lang w:val="pt-BR"/>
        </w:rPr>
        <w:t xml:space="preserve"> Isso por si só teria como resultado o modo lídio com 7</w:t>
      </w:r>
      <w:r>
        <w:rPr>
          <w:rFonts w:ascii="Times New Roman" w:hAnsi="Times New Roman"/>
          <w:vertAlign w:val="superscript"/>
          <w:lang w:val="pt-BR"/>
        </w:rPr>
        <w:t>a</w:t>
      </w:r>
      <w:r>
        <w:rPr>
          <w:rFonts w:ascii="Times New Roman" w:hAnsi="Times New Roman"/>
          <w:lang w:val="pt-BR"/>
        </w:rPr>
        <w:t xml:space="preserve"> abaixada, não fosse o fato de que o </w:t>
      </w:r>
      <w:r>
        <w:rPr>
          <w:rFonts w:ascii="Times New Roman" w:hAnsi="Times New Roman"/>
          <w:b/>
          <w:lang w:val="pt-BR"/>
        </w:rPr>
        <w:t>fá bequadro</w:t>
      </w:r>
      <w:r>
        <w:rPr>
          <w:rFonts w:ascii="Times New Roman" w:hAnsi="Times New Roman"/>
          <w:lang w:val="pt-BR"/>
        </w:rPr>
        <w:t xml:space="preserve"> aparece na mão esquerda e que o motivo lídio descendente da mão direita é harmonizado em tríades paralelas que sugerem primeiro Ré lídio, que contém </w:t>
      </w:r>
      <w:r>
        <w:rPr>
          <w:rFonts w:ascii="Times New Roman" w:hAnsi="Times New Roman"/>
          <w:b/>
          <w:lang w:val="pt-BR"/>
        </w:rPr>
        <w:t>fá #</w:t>
      </w:r>
      <w:r>
        <w:rPr>
          <w:rFonts w:ascii="Times New Roman" w:hAnsi="Times New Roman"/>
          <w:lang w:val="pt-BR"/>
        </w:rPr>
        <w:t>, e em seguida Dó lídio, resultando da interação vertical entre mão direita e esquerda tríades com uma segunda adicionada.</w:t>
      </w:r>
    </w:p>
    <w:p>
      <w:pPr>
        <w:pStyle w:val="Corpodotexto"/>
        <w:spacing w:lineRule="auto" w:line="360"/>
        <w:jc w:val="both"/>
        <w:rPr>
          <w:rFonts w:ascii="Times New Roman" w:hAnsi="Times New Roman"/>
          <w:lang w:val="pt-BR"/>
        </w:rPr>
      </w:pPr>
      <w:r>
        <w:rPr>
          <w:rFonts w:ascii="Times New Roman" w:hAnsi="Times New Roman"/>
          <w:lang w:val="pt-BR"/>
        </w:rPr>
        <w:t xml:space="preserve">A pergunta que vai nos ocupar ao longo deste texto é por que Guerra-Peixe opta pelos recursos apontados acima ao produzir música de caráter brasileiro, deixando de lado aqui quais os princípios harmônicos lhe serviam para controlar tais estruturas. Guerra-Peixe parece tentar “diluir”, para usar o termo empregado por ele próprio, o excessivamente característico do modo, ao que se soma ainda o procedimento que consiste em transpor diretamente, de maneira abrupta até, o material apresentado, produzindo ainda mais mudanças de centro e de modo. É o que se pode ver no terceiro compasso mostrado na figura acima (quinto compasso na partitura da peça), quando tudo que foi apresentado é transposto para Fá, em seguida para </w:t>
      </w:r>
      <w:r>
        <w:rPr>
          <w:rFonts w:ascii="Times New Roman" w:hAnsi="Times New Roman"/>
          <w:b/>
          <w:lang w:val="pt-BR"/>
        </w:rPr>
        <w:t>Mi b</w:t>
      </w:r>
      <w:r>
        <w:rPr>
          <w:rFonts w:ascii="Times New Roman" w:hAnsi="Times New Roman"/>
          <w:lang w:val="pt-BR"/>
        </w:rPr>
        <w:t xml:space="preserve"> – aumentando a tensão do trecho devido à maior “discrepância” harmônica entre o ostinato e o tema, que aparece em Ré dórico – e, por fim, </w:t>
      </w:r>
      <w:r>
        <w:rPr>
          <w:rFonts w:ascii="Times New Roman" w:hAnsi="Times New Roman"/>
          <w:b/>
          <w:lang w:val="pt-BR"/>
        </w:rPr>
        <w:t>Mi natural</w:t>
      </w:r>
      <w:r>
        <w:rPr>
          <w:rFonts w:ascii="Times New Roman" w:hAnsi="Times New Roman"/>
          <w:lang w:val="pt-BR"/>
        </w:rPr>
        <w:t>.</w:t>
      </w:r>
    </w:p>
    <w:p>
      <w:pPr>
        <w:pStyle w:val="Corpodotexto"/>
        <w:spacing w:lineRule="auto" w:line="360"/>
        <w:jc w:val="both"/>
        <w:rPr>
          <w:rFonts w:ascii="Times New Roman" w:hAnsi="Times New Roman"/>
          <w:lang w:val="pt-BR"/>
        </w:rPr>
      </w:pPr>
      <w:r>
        <w:rPr>
          <w:rFonts w:ascii="Times New Roman" w:hAnsi="Times New Roman"/>
          <w:lang w:val="pt-BR"/>
        </w:rPr>
        <w:t xml:space="preserve">É interessante ver Béla Bartók, o compositor-folclorista exemplar, apontar procedimentos muito similares aos que estamos vendo na música de Guerra-Peixe no </w:t>
      </w:r>
      <w:r>
        <w:rPr>
          <w:rFonts w:ascii="Times New Roman" w:hAnsi="Times New Roman"/>
          <w:i/>
          <w:lang w:val="pt-BR"/>
        </w:rPr>
        <w:t>Pribaoutki</w:t>
      </w:r>
      <w:r>
        <w:rPr>
          <w:rFonts w:ascii="Times New Roman" w:hAnsi="Times New Roman"/>
          <w:lang w:val="pt-BR"/>
        </w:rPr>
        <w:t xml:space="preserve"> de Stravinsky. Para o húngaro, a parte vocal consiste em motivos curtos que Stravinsky imita da música folclórica russa e que, tomados separadamente, são absolutamente tonais, mas recebem como acompanhamento uma série de fragmentos mais ou menos atonais que, ainda assim, guardam algo de característico dos motivos. (BARTÓK, apud ANTOKOLETZ, 1992, p. 94) Isso em si é bastante interessante e significativo, no entanto, é em outro compositor europeu que talvez encontremos observações mais interessantes para dar conta do que nos ocupa aqui. Para Darius Milhaud (1982, p. 173), as mesmas diferenças verificadas entre diatonismo e cromatismo apareciam entre politonalidade e atonalidade. Assim, Milhaud tenta provar a continuidade entre politonalidade e a tradição de concerto por meio do diatonismo, vendo indícios dela na prática de compositores anteriores e, em seguida, apresenta exemplos na música de seus contemporâneos. Daí, passa a mostrar algumas das técnicas que a politonalidade engendra, entre elas o que chama de </w:t>
      </w:r>
      <w:r>
        <w:rPr>
          <w:rFonts w:ascii="Times New Roman" w:hAnsi="Times New Roman"/>
          <w:i/>
          <w:lang w:val="pt-BR"/>
        </w:rPr>
        <w:t>contraponto de acordes</w:t>
      </w:r>
      <w:r>
        <w:rPr>
          <w:rStyle w:val="Ncoradanotaderodap"/>
          <w:rFonts w:ascii="Times New Roman" w:hAnsi="Times New Roman"/>
          <w:lang w:val="pt-BR"/>
        </w:rPr>
        <w:footnoteReference w:id="4"/>
      </w:r>
      <w:r>
        <w:rPr>
          <w:rFonts w:ascii="Times New Roman" w:hAnsi="Times New Roman"/>
          <w:lang w:val="pt-BR"/>
        </w:rPr>
        <w:t xml:space="preserve">, bastante similar ao que vimos acima, no </w:t>
      </w:r>
      <w:r>
        <w:rPr>
          <w:rFonts w:ascii="Times New Roman" w:hAnsi="Times New Roman"/>
          <w:i/>
          <w:lang w:val="pt-BR"/>
        </w:rPr>
        <w:t>Pedinte</w:t>
      </w:r>
      <w:r>
        <w:rPr>
          <w:rFonts w:ascii="Times New Roman" w:hAnsi="Times New Roman"/>
          <w:lang w:val="pt-BR"/>
        </w:rPr>
        <w:t xml:space="preserve"> da </w:t>
      </w:r>
      <w:r>
        <w:rPr>
          <w:rFonts w:ascii="Times New Roman" w:hAnsi="Times New Roman"/>
          <w:i/>
          <w:lang w:val="pt-BR"/>
        </w:rPr>
        <w:t>Suíte n</w:t>
      </w:r>
      <w:r>
        <w:rPr>
          <w:rFonts w:ascii="Times New Roman" w:hAnsi="Times New Roman"/>
          <w:i/>
          <w:vertAlign w:val="superscript"/>
          <w:lang w:val="pt-BR"/>
        </w:rPr>
        <w:t>o</w:t>
      </w:r>
      <w:r>
        <w:rPr>
          <w:rFonts w:ascii="Times New Roman" w:hAnsi="Times New Roman"/>
          <w:i/>
          <w:lang w:val="pt-BR"/>
        </w:rPr>
        <w:t xml:space="preserve"> 2</w:t>
      </w:r>
      <w:r>
        <w:rPr>
          <w:rFonts w:ascii="Times New Roman" w:hAnsi="Times New Roman"/>
          <w:lang w:val="pt-BR"/>
        </w:rPr>
        <w:t xml:space="preserve"> e a “politonalidade contrapontística”, segundo a qual “no lugar de superpor acordes ou encadeamentos de acordes, temos como elemento melodias escritas em diversos tons que se superpõem por um jogo de contraponto”. (MILHAUD, 1982, p. 183)</w:t>
      </w:r>
    </w:p>
    <w:p>
      <w:pPr>
        <w:pStyle w:val="Corpodotexto"/>
        <w:spacing w:lineRule="auto" w:line="360"/>
        <w:jc w:val="both"/>
        <w:rPr>
          <w:rFonts w:ascii="Times New Roman" w:hAnsi="Times New Roman"/>
          <w:lang w:val="pt-BR"/>
        </w:rPr>
      </w:pPr>
      <w:r>
        <w:rPr>
          <w:rFonts w:ascii="Times New Roman" w:hAnsi="Times New Roman"/>
          <w:lang w:val="pt-BR"/>
        </w:rPr>
        <w:t xml:space="preserve">Todas essas técnicas poderiam levar, no limite, a um resultado atonal, mas para Milhaud se a música politonal é de origem essencialmente diatônica, </w:t>
      </w:r>
      <w:r>
        <w:rPr>
          <w:rFonts w:ascii="Times New Roman" w:hAnsi="Times New Roman"/>
          <w:i/>
          <w:lang w:val="pt-BR"/>
        </w:rPr>
        <w:t>como o são as melodias e harmonias das quais é composta</w:t>
      </w:r>
      <w:r>
        <w:rPr>
          <w:rFonts w:ascii="Times New Roman" w:hAnsi="Times New Roman"/>
          <w:lang w:val="pt-BR"/>
        </w:rPr>
        <w:t>, diz ele, a atonal é cromática, pois baseada no acorde de sétima da dominante. Isso significa, para Milhaud, que cada acorde seria potencialmente a dominante de um outro, num movimento constante entre tonalidades. Assim, para ele o que determina o caráter politonal ou atonal de uma obra será muito mais a melodia que lhe serve de ponto de partida, cujas necessidades “orgânicas” deveriam ser ouvidas e atendidas, que os procedimentos de escrita. (MILHAUD, 1982, p. 188)</w:t>
      </w:r>
    </w:p>
    <w:p>
      <w:pPr>
        <w:pStyle w:val="Corpodotexto"/>
        <w:spacing w:lineRule="auto" w:line="360"/>
        <w:jc w:val="both"/>
        <w:rPr>
          <w:rFonts w:ascii="Times New Roman" w:hAnsi="Times New Roman"/>
          <w:lang w:val="pt-BR"/>
        </w:rPr>
      </w:pPr>
      <w:r>
        <w:rPr>
          <w:rFonts w:ascii="Times New Roman" w:hAnsi="Times New Roman"/>
          <w:lang w:val="pt-BR"/>
        </w:rPr>
        <w:t>Encontramos aí a importância da ideia de uma coerência entre material e meios de escrita, mas, para além disso, temos uma forma de encarar o recurso à politonalidade e à polimodalidade nas obras de Guerra-Peixe do início dos anos 1950.</w:t>
      </w:r>
    </w:p>
    <w:p>
      <w:pPr>
        <w:pStyle w:val="Corpodotexto"/>
        <w:spacing w:lineRule="auto" w:line="360"/>
        <w:jc w:val="both"/>
        <w:rPr>
          <w:rFonts w:ascii="Times New Roman" w:hAnsi="Times New Roman"/>
          <w:lang w:val="pt-BR"/>
        </w:rPr>
      </w:pPr>
      <w:r>
        <w:rPr>
          <w:rFonts w:ascii="Times New Roman" w:hAnsi="Times New Roman"/>
          <w:lang w:val="pt-BR"/>
        </w:rPr>
        <w:t xml:space="preserve">Na melodia tocada pelos violinos no </w:t>
      </w:r>
      <w:r>
        <w:rPr>
          <w:rFonts w:ascii="Times New Roman" w:hAnsi="Times New Roman"/>
          <w:i/>
          <w:lang w:val="pt-BR"/>
        </w:rPr>
        <w:t>Maracatu</w:t>
      </w:r>
      <w:r>
        <w:rPr>
          <w:rFonts w:ascii="Times New Roman" w:hAnsi="Times New Roman"/>
          <w:lang w:val="pt-BR"/>
        </w:rPr>
        <w:t xml:space="preserve"> da </w:t>
      </w:r>
      <w:r>
        <w:rPr>
          <w:rFonts w:ascii="Times New Roman" w:hAnsi="Times New Roman"/>
          <w:i/>
          <w:lang w:val="pt-BR"/>
        </w:rPr>
        <w:t>Suíte para Quarteto ou Orquestra de Cordas</w:t>
      </w:r>
      <w:r>
        <w:rPr>
          <w:rFonts w:ascii="Times New Roman" w:hAnsi="Times New Roman"/>
          <w:lang w:val="pt-BR"/>
        </w:rPr>
        <w:t xml:space="preserve"> trabalha-se com a sobreposição de uma melodia em Si mixolídio e um acompanhamento em Mi lídio com sétima abaixada, mantendo-os como dois planos separados pelo recurso a cadências típicas de cada modo que inclusive ocorrem defasadas metricamente (ver figura 6 acima). Já no </w:t>
      </w:r>
      <w:r>
        <w:rPr>
          <w:rFonts w:ascii="Times New Roman" w:hAnsi="Times New Roman"/>
          <w:i/>
          <w:lang w:val="pt-BR"/>
        </w:rPr>
        <w:t>Pedinte</w:t>
      </w:r>
      <w:r>
        <w:rPr>
          <w:rFonts w:ascii="Times New Roman" w:hAnsi="Times New Roman"/>
          <w:lang w:val="pt-BR"/>
        </w:rPr>
        <w:t xml:space="preserve"> da </w:t>
      </w:r>
      <w:r>
        <w:rPr>
          <w:rFonts w:ascii="Times New Roman" w:hAnsi="Times New Roman"/>
          <w:i/>
          <w:lang w:val="pt-BR"/>
        </w:rPr>
        <w:t>Suíte n</w:t>
      </w:r>
      <w:r>
        <w:rPr>
          <w:rFonts w:ascii="Times New Roman" w:hAnsi="Times New Roman"/>
          <w:i/>
          <w:vertAlign w:val="superscript"/>
          <w:lang w:val="pt-BR"/>
        </w:rPr>
        <w:t>o</w:t>
      </w:r>
      <w:r>
        <w:rPr>
          <w:rFonts w:ascii="Times New Roman" w:hAnsi="Times New Roman"/>
          <w:i/>
          <w:lang w:val="pt-BR"/>
        </w:rPr>
        <w:t xml:space="preserve"> 2</w:t>
      </w:r>
      <w:r>
        <w:rPr>
          <w:rFonts w:ascii="Times New Roman" w:hAnsi="Times New Roman"/>
          <w:lang w:val="pt-BR"/>
        </w:rPr>
        <w:t>, quando surgem estruturas identificáveis como uma sobreposição de modos, centros ou ambas as coisas, o objetivo parece ser sobretudo a criação de complexidade e ambiguidade, o que parece ser o caso mais comum na obra do compositor petropolitano. Como vimos, Milhaud dizia que o politonalismo poderia ser mais harmônico ou mais contrapontístico. Portanto podemos distinguir um politonalismo que visa à criação de planos simultâneos ou que se alternam rapidamente, cada um deles em uma tonalidade diferente – correspondendo ao politonalismo contrapontístico –, e outro cuja intenção é empilhar acordes ou escalas para gerar estruturas harmonicamente mais complexas que tenderiam a ser ouvidas como entidades em si, o politonalismo harmônico.</w:t>
      </w:r>
    </w:p>
    <w:p>
      <w:pPr>
        <w:pStyle w:val="Corpodotexto"/>
        <w:spacing w:lineRule="auto" w:line="360"/>
        <w:jc w:val="both"/>
        <w:rPr>
          <w:rFonts w:ascii="Times New Roman" w:hAnsi="Times New Roman"/>
          <w:lang w:val="pt-BR"/>
        </w:rPr>
      </w:pPr>
      <w:r>
        <w:rPr>
          <w:rFonts w:ascii="Times New Roman" w:hAnsi="Times New Roman"/>
          <w:lang w:val="pt-BR"/>
        </w:rPr>
        <w:t xml:space="preserve">Evidentemente trata-se de tipos ideais, pois raros são os casos que se enquadram única e univocamente em só um dos tipos. Sua utilidade consiste em oferecer balizas para pensar a prática composicional na tradição de concerto ocidental do século XX face a trechos de obras em que se pode identificar, devido à manutenção de sua identidade, a convivência de estruturas que em geral ou já são previamente encontradas na tradição – como as diferentes rotações da coleção diatônica, escalas pentatônicas, acordes etc. –, ou são criadas a partir de raciocínios já presentes na prática comum dessa tradição – como escalas sintéticas e estruturas formadas por ciclos de intervalos. O </w:t>
      </w:r>
      <w:r>
        <w:rPr>
          <w:rFonts w:ascii="Times New Roman" w:hAnsi="Times New Roman"/>
          <w:i/>
          <w:lang w:val="pt-BR"/>
        </w:rPr>
        <w:t>Maracatu</w:t>
      </w:r>
      <w:r>
        <w:rPr>
          <w:rFonts w:ascii="Times New Roman" w:hAnsi="Times New Roman"/>
          <w:lang w:val="pt-BR"/>
        </w:rPr>
        <w:t xml:space="preserve"> apresentado acima é paradigmático: no efeito tímbrico do ostinato, onde contrabaixos e violoncelos trabalham num modo que contém </w:t>
      </w:r>
      <w:r>
        <w:rPr>
          <w:rFonts w:ascii="Times New Roman" w:hAnsi="Times New Roman"/>
          <w:b/>
          <w:lang w:val="pt-BR"/>
        </w:rPr>
        <w:t>sol bequadro</w:t>
      </w:r>
      <w:r>
        <w:rPr>
          <w:rFonts w:ascii="Times New Roman" w:hAnsi="Times New Roman"/>
          <w:lang w:val="pt-BR"/>
        </w:rPr>
        <w:t xml:space="preserve">, enquanto nas violas ouvimos </w:t>
      </w:r>
      <w:r>
        <w:rPr>
          <w:rFonts w:ascii="Times New Roman" w:hAnsi="Times New Roman"/>
          <w:b/>
          <w:lang w:val="pt-BR"/>
        </w:rPr>
        <w:t>sol #</w:t>
      </w:r>
      <w:r>
        <w:rPr>
          <w:rFonts w:ascii="Times New Roman" w:hAnsi="Times New Roman"/>
          <w:lang w:val="pt-BR"/>
        </w:rPr>
        <w:t>, há complexificação, enquanto na já discutida relação entre o ostinato e as cordas agudas encontramos planos paralelos. Já como pudemos observar na Suíte n</w:t>
      </w:r>
      <w:r>
        <w:rPr>
          <w:rFonts w:ascii="Times New Roman" w:hAnsi="Times New Roman"/>
          <w:vertAlign w:val="superscript"/>
          <w:lang w:val="pt-BR"/>
        </w:rPr>
        <w:t>o</w:t>
      </w:r>
      <w:r>
        <w:rPr>
          <w:rFonts w:ascii="Times New Roman" w:hAnsi="Times New Roman"/>
          <w:lang w:val="pt-BR"/>
        </w:rPr>
        <w:t xml:space="preserve"> 2, ali os métodos politonais complexificam e nublam o característico dos materiais empregados, dando-lhes uma sonoridade mais próxima da música de concerto contemporânea de Guerra-Peixe, mas sem anulá-los completamente. As cromatizações “intra-modos” realizadas por ele aparecem menos como forma de escapar ao característico e mais como expedientes para o desenvolvimento temático e também, em boa medida, complexificação. Trata-se de um elemento importante da técnica modal de Guerra-Peixe e, não por acaso, é mais frequente em obras de maior duração como sonatas ou peças de câmara, cuja ligação forte com a tradição de concerto estabelece a necessidade de sustentar um discurso de longo alcance com certa economia de meios. Assim, partindo daquela oposição entre diatonismo e cromatismo discutida há pouco, vemos que Guerra-Peixe talvez tenha encontrado mecanismos para produzir um modalismo que não precisava ser diatônico para evitar perder suas características; um modalismo que se pode dizer, mesmo sob o risco de oxímoro, cromático e que merece uma discussão em separado que não poderá ser feita aqui.</w:t>
      </w:r>
      <w:r>
        <w:rPr>
          <w:rStyle w:val="Ncoradanotaderodap"/>
          <w:rFonts w:ascii="Times New Roman" w:hAnsi="Times New Roman"/>
          <w:lang w:val="pt-BR"/>
        </w:rPr>
        <w:footnoteReference w:id="5"/>
      </w:r>
    </w:p>
    <w:p>
      <w:pPr>
        <w:pStyle w:val="Corpodotexto"/>
        <w:spacing w:lineRule="auto" w:line="360"/>
        <w:jc w:val="both"/>
        <w:rPr>
          <w:rFonts w:ascii="Times New Roman" w:hAnsi="Times New Roman"/>
          <w:lang w:val="pt-BR"/>
        </w:rPr>
      </w:pPr>
      <w:r>
        <w:rPr>
          <w:rFonts w:ascii="Times New Roman" w:hAnsi="Times New Roman"/>
          <w:lang w:val="pt-BR"/>
        </w:rPr>
        <w:t>O recurso à politonalidade e à polimodalidade parecia ser uma forma de produzir texturas harmonicamente complexas usando material folclórico, que tenderia a ser diatônico. Assim Guerra-Peixe não descaracterizaria o material, mas conseguiria também uma complexidade maior. Ir para o Recife e para o interior de São Paulo fazer pesquisa folclórica não significou, portanto, trocar completamente a música de concerto de sua época por uma suposta “música brasileira” ainda por ser criada. Ao contrário, havia uma preocupação em ligar sua música à contemporaneidade pela via da tradição de concerto ocidental e muitos dos mecanismos a que Guerra-Peixe recorreu foram oferecidos por esta própria tradição, ao menos em sua vertente modernista. Há que se considerar, portanto, que polimodalismo e politonalismo talvez tivessem maior alcance na maneira de pensar a música na época e esta foi a razão para trazer os escritos de Milhaud aqui – compositor que, aliás, teve considerável influência no meio musical carioca no início do século (cf. LAGO, 2012). No caso de Guerra-Peixe só podemos imaginar que esse tipo de questionamento teria entrado em jogo naquele período de gestação de sua nova fase composicional, quando do fim dos anos 1940 até mais ou menos a metade da década seguinte fez a passagem de dodecafonista a nacionalista. Diante disso, fazia sentido que ele fosse buscar em sua bagagem técnica e teórica instrumentos para lidar com os desafios composicionais colocados por suas novas exigências estéticas. Gostaria de sugerir que o politonalismo serviu precisamente a esses fins, ao menos durante os primeiros anos de sua fase nacionalista por tender a ser visto como especialmente adequado ao diatonismo implícito no modalismo, este por sua vez um elemento importante na definição identitária de nossa sempre nascente música de concerto.</w:t>
      </w:r>
    </w:p>
    <w:p>
      <w:pPr>
        <w:pStyle w:val="Corpodotexto"/>
        <w:spacing w:lineRule="auto" w:line="360"/>
        <w:jc w:val="both"/>
        <w:rPr>
          <w:rFonts w:ascii="Times New Roman" w:hAnsi="Times New Roman"/>
          <w:lang w:val="pt-BR"/>
        </w:rPr>
      </w:pPr>
      <w:r>
        <w:rPr>
          <w:rFonts w:ascii="Times New Roman" w:hAnsi="Times New Roman"/>
          <w:lang w:val="pt-BR"/>
        </w:rPr>
        <w:t>Referências:</w:t>
      </w:r>
    </w:p>
    <w:p>
      <w:pPr>
        <w:pStyle w:val="Corpodotexto"/>
        <w:spacing w:lineRule="auto" w:line="240"/>
        <w:jc w:val="both"/>
        <w:rPr>
          <w:rFonts w:ascii="Times New Roman" w:hAnsi="Times New Roman"/>
          <w:lang w:val="pt-BR"/>
        </w:rPr>
      </w:pPr>
      <w:r>
        <w:rPr>
          <w:rFonts w:ascii="Times New Roman" w:hAnsi="Times New Roman"/>
          <w:lang w:val="pt-BR"/>
        </w:rPr>
        <w:t xml:space="preserve">ANTOKOLETZ, E. </w:t>
      </w:r>
      <w:r>
        <w:rPr>
          <w:rFonts w:ascii="Times New Roman" w:hAnsi="Times New Roman"/>
          <w:i/>
          <w:lang w:val="pt-BR"/>
        </w:rPr>
        <w:t>Twentieth-Century Music</w:t>
      </w:r>
      <w:r>
        <w:rPr>
          <w:rFonts w:ascii="Times New Roman" w:hAnsi="Times New Roman"/>
          <w:lang w:val="pt-BR"/>
        </w:rPr>
        <w:t>. Nova Jersey: Prentice Hall, 1992.</w:t>
      </w:r>
    </w:p>
    <w:p>
      <w:pPr>
        <w:pStyle w:val="Corpodotexto"/>
        <w:spacing w:lineRule="auto" w:line="240"/>
        <w:jc w:val="both"/>
        <w:rPr>
          <w:rFonts w:ascii="Times New Roman" w:hAnsi="Times New Roman"/>
          <w:lang w:val="pt-BR"/>
        </w:rPr>
      </w:pPr>
      <w:r>
        <w:rPr>
          <w:rFonts w:ascii="Times New Roman" w:hAnsi="Times New Roman"/>
          <w:lang w:val="pt-BR"/>
        </w:rPr>
        <w:t xml:space="preserve">BARROS, F. </w:t>
      </w:r>
      <w:r>
        <w:rPr>
          <w:rFonts w:ascii="Times New Roman" w:hAnsi="Times New Roman"/>
          <w:i/>
          <w:lang w:val="pt-BR"/>
        </w:rPr>
        <w:t>César Guerra-Peixe: a modernidade em busca de uma tradição</w:t>
      </w:r>
      <w:r>
        <w:rPr>
          <w:rFonts w:ascii="Times New Roman" w:hAnsi="Times New Roman"/>
          <w:lang w:val="pt-BR"/>
        </w:rPr>
        <w:t>. Tese (Doutorado em Sociologia). São Paulo: FFLCH-USP, 2013.</w:t>
      </w:r>
    </w:p>
    <w:p>
      <w:pPr>
        <w:pStyle w:val="Corpodotexto"/>
        <w:spacing w:lineRule="auto" w:line="240"/>
        <w:jc w:val="both"/>
        <w:rPr>
          <w:rFonts w:ascii="Times New Roman" w:hAnsi="Times New Roman"/>
          <w:lang w:val="pt-BR"/>
        </w:rPr>
      </w:pPr>
      <w:r>
        <w:rPr>
          <w:rFonts w:ascii="Times New Roman" w:hAnsi="Times New Roman"/>
          <w:lang w:val="pt-BR"/>
        </w:rPr>
        <w:t>FORTE, A</w:t>
      </w:r>
      <w:r>
        <w:rPr>
          <w:rFonts w:ascii="Times New Roman" w:hAnsi="Times New Roman"/>
          <w:lang w:val="pt-BR"/>
        </w:rPr>
        <w:t>llen</w:t>
      </w:r>
      <w:r>
        <w:rPr>
          <w:rFonts w:ascii="Times New Roman" w:hAnsi="Times New Roman"/>
          <w:lang w:val="pt-BR"/>
        </w:rPr>
        <w:t xml:space="preserve">. “Paul Hindemith’s Contribution to Music Theory in the United States”. In: </w:t>
      </w:r>
      <w:r>
        <w:rPr>
          <w:rFonts w:ascii="Times New Roman" w:hAnsi="Times New Roman"/>
          <w:i/>
          <w:lang w:val="pt-BR"/>
        </w:rPr>
        <w:t>Journal of Music Theory</w:t>
      </w:r>
      <w:r>
        <w:rPr>
          <w:rFonts w:ascii="Times New Roman" w:hAnsi="Times New Roman"/>
          <w:lang w:val="pt-BR"/>
        </w:rPr>
        <w:t>, vol. 42, no. 1, 1998, 1-14.</w:t>
      </w:r>
    </w:p>
    <w:p>
      <w:pPr>
        <w:pStyle w:val="Corpodotexto"/>
        <w:spacing w:lineRule="auto" w:line="240"/>
        <w:jc w:val="both"/>
        <w:rPr>
          <w:rFonts w:ascii="Times New Roman" w:hAnsi="Times New Roman"/>
          <w:lang w:val="pt-BR"/>
        </w:rPr>
      </w:pPr>
      <w:r>
        <w:rPr>
          <w:rFonts w:ascii="Times New Roman" w:hAnsi="Times New Roman"/>
          <w:lang w:val="pt-BR"/>
        </w:rPr>
        <w:t>GUERRA-PEIXE, C</w:t>
      </w:r>
      <w:r>
        <w:rPr>
          <w:rFonts w:ascii="Times New Roman" w:hAnsi="Times New Roman"/>
          <w:lang w:val="pt-BR"/>
        </w:rPr>
        <w:t>ésar</w:t>
      </w:r>
      <w:r>
        <w:rPr>
          <w:rFonts w:ascii="Times New Roman" w:hAnsi="Times New Roman"/>
          <w:lang w:val="pt-BR"/>
        </w:rPr>
        <w:t xml:space="preserve">. </w:t>
      </w:r>
      <w:r>
        <w:rPr>
          <w:rFonts w:ascii="Times New Roman" w:hAnsi="Times New Roman"/>
          <w:i/>
          <w:lang w:val="pt-BR"/>
        </w:rPr>
        <w:t>Carta a Curt Lange</w:t>
      </w:r>
      <w:r>
        <w:rPr>
          <w:rFonts w:ascii="Times New Roman" w:hAnsi="Times New Roman"/>
          <w:lang w:val="pt-BR"/>
        </w:rPr>
        <w:t>. Recife: 09/06/1949. Acervo Curt Lange, UFMG.</w:t>
      </w:r>
    </w:p>
    <w:p>
      <w:pPr>
        <w:pStyle w:val="Corpodotexto"/>
        <w:spacing w:lineRule="auto" w:line="240"/>
        <w:jc w:val="both"/>
        <w:rPr>
          <w:rFonts w:ascii="Times New Roman" w:hAnsi="Times New Roman"/>
          <w:lang w:val="pt-BR"/>
        </w:rPr>
      </w:pPr>
      <w:r>
        <w:rPr>
          <w:rFonts w:ascii="Times New Roman" w:hAnsi="Times New Roman"/>
          <w:lang w:val="pt-BR"/>
        </w:rPr>
        <w:t>GUERRA-PEIXE, C</w:t>
      </w:r>
      <w:r>
        <w:rPr>
          <w:rFonts w:ascii="Times New Roman" w:hAnsi="Times New Roman"/>
          <w:lang w:val="pt-BR"/>
        </w:rPr>
        <w:t>ésar</w:t>
      </w:r>
      <w:r>
        <w:rPr>
          <w:rFonts w:ascii="Times New Roman" w:hAnsi="Times New Roman"/>
          <w:lang w:val="pt-BR"/>
        </w:rPr>
        <w:t xml:space="preserve">. </w:t>
      </w:r>
      <w:r>
        <w:rPr>
          <w:rFonts w:ascii="Times New Roman" w:hAnsi="Times New Roman"/>
          <w:i/>
          <w:lang w:val="pt-BR"/>
        </w:rPr>
        <w:t>Carta a Curt Lange</w:t>
      </w:r>
      <w:r>
        <w:rPr>
          <w:rFonts w:ascii="Times New Roman" w:hAnsi="Times New Roman"/>
          <w:lang w:val="pt-BR"/>
        </w:rPr>
        <w:t>. Recife: 08/10/1951. Acervo Curt Lange, UFMG.</w:t>
      </w:r>
    </w:p>
    <w:p>
      <w:pPr>
        <w:pStyle w:val="Corpodotexto"/>
        <w:spacing w:lineRule="auto" w:line="240"/>
        <w:jc w:val="both"/>
        <w:rPr>
          <w:rFonts w:ascii="Times New Roman" w:hAnsi="Times New Roman"/>
          <w:lang w:val="pt-BR"/>
        </w:rPr>
      </w:pPr>
      <w:r>
        <w:rPr>
          <w:rFonts w:ascii="Times New Roman" w:hAnsi="Times New Roman"/>
          <w:lang w:val="pt-BR"/>
        </w:rPr>
        <w:t>GUERRA-PEIXE, C</w:t>
      </w:r>
      <w:r>
        <w:rPr>
          <w:rFonts w:ascii="Times New Roman" w:hAnsi="Times New Roman"/>
          <w:lang w:val="pt-BR"/>
        </w:rPr>
        <w:t>ésar</w:t>
      </w:r>
      <w:r>
        <w:rPr>
          <w:rFonts w:ascii="Times New Roman" w:hAnsi="Times New Roman"/>
          <w:lang w:val="pt-BR"/>
        </w:rPr>
        <w:t>. Estudos de Folclore e Música Popular Urbana. Belo Horizonte: Editora UFMG, 2007.</w:t>
      </w:r>
    </w:p>
    <w:p>
      <w:pPr>
        <w:pStyle w:val="Corpodotexto"/>
        <w:spacing w:lineRule="auto" w:line="240"/>
        <w:jc w:val="both"/>
        <w:rPr>
          <w:rFonts w:ascii="Times New Roman" w:hAnsi="Times New Roman"/>
          <w:lang w:val="pt-BR"/>
        </w:rPr>
      </w:pPr>
      <w:r>
        <w:rPr>
          <w:rFonts w:ascii="Times New Roman" w:hAnsi="Times New Roman"/>
          <w:lang w:val="pt-BR"/>
        </w:rPr>
        <w:t>KATER, C</w:t>
      </w:r>
      <w:r>
        <w:rPr>
          <w:rFonts w:ascii="Times New Roman" w:hAnsi="Times New Roman"/>
          <w:lang w:val="pt-BR"/>
        </w:rPr>
        <w:t>arlos</w:t>
      </w:r>
      <w:r>
        <w:rPr>
          <w:rFonts w:ascii="Times New Roman" w:hAnsi="Times New Roman"/>
          <w:lang w:val="pt-BR"/>
        </w:rPr>
        <w:t xml:space="preserve">. </w:t>
      </w:r>
      <w:r>
        <w:rPr>
          <w:rFonts w:ascii="Times New Roman" w:hAnsi="Times New Roman"/>
          <w:i/>
          <w:lang w:val="pt-BR"/>
        </w:rPr>
        <w:t>Música Viva e H. J. Koellreutter: movimentos em direção à modernidade</w:t>
      </w:r>
      <w:r>
        <w:rPr>
          <w:rFonts w:ascii="Times New Roman" w:hAnsi="Times New Roman"/>
          <w:lang w:val="pt-BR"/>
        </w:rPr>
        <w:t>. São Paulo: Musa Editora, 2001.</w:t>
      </w:r>
    </w:p>
    <w:p>
      <w:pPr>
        <w:pStyle w:val="Corpodotexto"/>
        <w:spacing w:lineRule="auto" w:line="240"/>
        <w:jc w:val="both"/>
        <w:rPr>
          <w:rFonts w:ascii="Times New Roman" w:hAnsi="Times New Roman"/>
          <w:lang w:val="pt-BR"/>
        </w:rPr>
      </w:pPr>
      <w:r>
        <w:rPr>
          <w:rFonts w:ascii="Times New Roman" w:hAnsi="Times New Roman"/>
          <w:lang w:val="pt-BR"/>
        </w:rPr>
        <w:t>LAGO, M</w:t>
      </w:r>
      <w:r>
        <w:rPr>
          <w:rFonts w:ascii="Times New Roman" w:hAnsi="Times New Roman"/>
          <w:lang w:val="pt-BR"/>
        </w:rPr>
        <w:t>anoel</w:t>
      </w:r>
      <w:r>
        <w:rPr>
          <w:rFonts w:ascii="Times New Roman" w:hAnsi="Times New Roman"/>
          <w:lang w:val="pt-BR"/>
        </w:rPr>
        <w:t xml:space="preserve"> A. C. “Darius Milhaud no Brasil”. In: LAGO, M</w:t>
      </w:r>
      <w:r>
        <w:rPr>
          <w:rFonts w:ascii="Times New Roman" w:hAnsi="Times New Roman"/>
          <w:lang w:val="pt-BR"/>
        </w:rPr>
        <w:t>anoel</w:t>
      </w:r>
      <w:r>
        <w:rPr>
          <w:rFonts w:ascii="Times New Roman" w:hAnsi="Times New Roman"/>
          <w:lang w:val="pt-BR"/>
        </w:rPr>
        <w:t xml:space="preserve"> A. C. (org.). </w:t>
      </w:r>
      <w:r>
        <w:rPr>
          <w:rFonts w:ascii="Times New Roman" w:hAnsi="Times New Roman"/>
          <w:i/>
          <w:lang w:val="pt-BR"/>
        </w:rPr>
        <w:t>O boi no telhado: Darius Milhaud e a música brasileira no modernismo francês</w:t>
      </w:r>
      <w:r>
        <w:rPr>
          <w:rFonts w:ascii="Times New Roman" w:hAnsi="Times New Roman"/>
          <w:lang w:val="pt-BR"/>
        </w:rPr>
        <w:t>. São Paulo: Instituto Moreira Salles, 2012.</w:t>
      </w:r>
    </w:p>
    <w:p>
      <w:pPr>
        <w:pStyle w:val="Corpodotexto"/>
        <w:spacing w:lineRule="auto" w:line="240"/>
        <w:jc w:val="both"/>
        <w:rPr>
          <w:rFonts w:ascii="Times New Roman" w:hAnsi="Times New Roman"/>
          <w:lang w:val="pt-BR"/>
        </w:rPr>
      </w:pPr>
      <w:r>
        <w:rPr>
          <w:rFonts w:ascii="Times New Roman" w:hAnsi="Times New Roman"/>
          <w:lang w:val="pt-BR"/>
        </w:rPr>
        <w:t xml:space="preserve">MÉDICIS, F. “Darius Milhaud and the Debate on Polytonality in the French Press of the 1920s”. In: </w:t>
      </w:r>
      <w:r>
        <w:rPr>
          <w:rFonts w:ascii="Times New Roman" w:hAnsi="Times New Roman"/>
          <w:i/>
          <w:lang w:val="pt-BR"/>
        </w:rPr>
        <w:t xml:space="preserve">Music and Letters. </w:t>
      </w:r>
      <w:r>
        <w:rPr>
          <w:rFonts w:ascii="Times New Roman" w:hAnsi="Times New Roman"/>
          <w:lang w:val="pt-BR"/>
        </w:rPr>
        <w:t>Vol. 86, no. 4, Nov. 2005, seção “Nationalism”.MÉDICIS</w:t>
      </w:r>
    </w:p>
    <w:p>
      <w:pPr>
        <w:pStyle w:val="Corpodotexto"/>
        <w:spacing w:lineRule="auto" w:line="240"/>
        <w:jc w:val="both"/>
        <w:rPr>
          <w:rFonts w:ascii="Times New Roman" w:hAnsi="Times New Roman"/>
          <w:lang w:val="pt-BR"/>
        </w:rPr>
      </w:pPr>
      <w:r>
        <w:rPr>
          <w:rFonts w:ascii="Times New Roman" w:hAnsi="Times New Roman"/>
          <w:lang w:val="pt-BR"/>
        </w:rPr>
        <w:t>MILHAUD, D</w:t>
      </w:r>
      <w:r>
        <w:rPr>
          <w:rFonts w:ascii="Times New Roman" w:hAnsi="Times New Roman"/>
          <w:lang w:val="pt-BR"/>
        </w:rPr>
        <w:t>arius</w:t>
      </w:r>
      <w:r>
        <w:rPr>
          <w:rFonts w:ascii="Times New Roman" w:hAnsi="Times New Roman"/>
          <w:lang w:val="pt-BR"/>
        </w:rPr>
        <w:t xml:space="preserve">. </w:t>
      </w:r>
      <w:r>
        <w:rPr>
          <w:rFonts w:ascii="Times New Roman" w:hAnsi="Times New Roman"/>
          <w:i/>
          <w:lang w:val="pt-BR"/>
        </w:rPr>
        <w:t>Notes sur La Musique: essais et chroniques</w:t>
      </w:r>
      <w:r>
        <w:rPr>
          <w:rFonts w:ascii="Times New Roman" w:hAnsi="Times New Roman"/>
          <w:lang w:val="pt-BR"/>
        </w:rPr>
        <w:t>. Paris: Flammarion, 1982.</w:t>
      </w:r>
    </w:p>
    <w:p>
      <w:pPr>
        <w:pStyle w:val="Corpodotexto"/>
        <w:spacing w:lineRule="auto" w:line="240"/>
        <w:jc w:val="both"/>
        <w:rPr>
          <w:rFonts w:ascii="Times New Roman" w:hAnsi="Times New Roman"/>
          <w:lang w:val="pt-BR"/>
        </w:rPr>
      </w:pPr>
      <w:r>
        <w:rPr>
          <w:rFonts w:ascii="Times New Roman" w:hAnsi="Times New Roman"/>
          <w:lang w:val="pt-BR"/>
        </w:rPr>
        <w:t>SALLES, P</w:t>
      </w:r>
      <w:r>
        <w:rPr>
          <w:rFonts w:ascii="Times New Roman" w:hAnsi="Times New Roman"/>
          <w:lang w:val="pt-BR"/>
        </w:rPr>
        <w:t>aulo</w:t>
      </w:r>
      <w:r>
        <w:rPr>
          <w:rFonts w:ascii="Times New Roman" w:hAnsi="Times New Roman"/>
          <w:lang w:val="pt-BR"/>
        </w:rPr>
        <w:t xml:space="preserve"> </w:t>
      </w:r>
      <w:r>
        <w:rPr>
          <w:rFonts w:ascii="Times New Roman" w:hAnsi="Times New Roman"/>
          <w:lang w:val="pt-BR"/>
        </w:rPr>
        <w:t xml:space="preserve">de </w:t>
      </w:r>
      <w:r>
        <w:rPr>
          <w:rFonts w:ascii="Times New Roman" w:hAnsi="Times New Roman"/>
          <w:lang w:val="pt-BR"/>
        </w:rPr>
        <w:t xml:space="preserve">T. </w:t>
      </w:r>
      <w:r>
        <w:rPr>
          <w:rFonts w:ascii="Times New Roman" w:hAnsi="Times New Roman"/>
          <w:i/>
          <w:lang w:val="pt-BR"/>
        </w:rPr>
        <w:t>Villa-Lobos: Processos Composicionais</w:t>
      </w:r>
      <w:r>
        <w:rPr>
          <w:rFonts w:ascii="Times New Roman" w:hAnsi="Times New Roman"/>
          <w:lang w:val="pt-BR"/>
        </w:rPr>
        <w:t>. Campinas: Editora da Unicamp, 2009.</w:t>
      </w:r>
    </w:p>
    <w:p>
      <w:pPr>
        <w:pStyle w:val="Corpodotexto"/>
        <w:spacing w:lineRule="auto" w:line="240"/>
        <w:jc w:val="both"/>
        <w:rPr>
          <w:rFonts w:ascii="Times New Roman" w:hAnsi="Times New Roman"/>
          <w:lang w:val="pt-BR"/>
        </w:rPr>
      </w:pPr>
      <w:r>
        <w:rPr>
          <w:rFonts w:ascii="Times New Roman" w:hAnsi="Times New Roman"/>
          <w:lang w:val="pt-BR"/>
        </w:rPr>
        <w:t>SILVA, F</w:t>
      </w:r>
      <w:r>
        <w:rPr>
          <w:rFonts w:ascii="Times New Roman" w:hAnsi="Times New Roman"/>
          <w:lang w:val="pt-BR"/>
        </w:rPr>
        <w:t>lávio</w:t>
      </w:r>
      <w:r>
        <w:rPr>
          <w:rFonts w:ascii="Times New Roman" w:hAnsi="Times New Roman"/>
          <w:lang w:val="pt-BR"/>
        </w:rPr>
        <w:t>. (org.) Camargo Guarnieri – O Tempo e a Música. Rio de Janeiro: Funarte, 2001.</w:t>
      </w:r>
    </w:p>
    <w:p>
      <w:pPr>
        <w:pStyle w:val="Corpodotexto"/>
        <w:spacing w:lineRule="auto" w:line="240"/>
        <w:jc w:val="both"/>
        <w:rPr>
          <w:rFonts w:ascii="Times New Roman" w:hAnsi="Times New Roman"/>
          <w:lang w:val="pt-BR"/>
        </w:rPr>
      </w:pPr>
      <w:r>
        <w:rPr>
          <w:rFonts w:ascii="Times New Roman" w:hAnsi="Times New Roman"/>
          <w:lang w:val="pt-BR"/>
        </w:rPr>
      </w:r>
    </w:p>
    <w:p>
      <w:pPr>
        <w:pStyle w:val="Normal"/>
        <w:spacing w:lineRule="auto" w:line="240"/>
        <w:jc w:val="both"/>
        <w:rPr>
          <w:rFonts w:ascii="Times New Roman" w:hAnsi="Times New Roman" w:eastAsia="Times New Roman"/>
          <w:b/>
          <w:b/>
          <w:sz w:val="20"/>
          <w:szCs w:val="20"/>
          <w:lang w:val="pt-BR" w:eastAsia="ar-SA"/>
        </w:rPr>
      </w:pPr>
      <w:r>
        <w:rPr>
          <w:rFonts w:eastAsia="Times New Roman" w:ascii="Times New Roman" w:hAnsi="Times New Roman"/>
          <w:b/>
          <w:sz w:val="20"/>
          <w:szCs w:val="20"/>
          <w:lang w:val="pt-BR" w:eastAsia="ar-SA"/>
        </w:rPr>
        <w:t>Breve Currículo do Autor</w:t>
      </w:r>
    </w:p>
    <w:p>
      <w:pPr>
        <w:pStyle w:val="Corpodotexto"/>
        <w:spacing w:lineRule="auto" w:line="240"/>
        <w:jc w:val="both"/>
        <w:rPr>
          <w:rFonts w:ascii="Times New Roman" w:hAnsi="Times New Roman"/>
          <w:sz w:val="20"/>
          <w:szCs w:val="20"/>
          <w:lang w:val="pt-BR"/>
        </w:rPr>
      </w:pPr>
      <w:r>
        <w:rPr>
          <w:rFonts w:ascii="Times New Roman" w:hAnsi="Times New Roman"/>
          <w:sz w:val="20"/>
          <w:szCs w:val="20"/>
          <w:lang w:val="pt-BR"/>
        </w:rPr>
        <w:t>Frederico Barros é professor de História da Música na Universidade Federal do Rio de Janeiro. Possui doutorado em Sociologia pela Universidade de São Paulo,</w:t>
      </w:r>
      <w:r>
        <w:rPr>
          <w:rFonts w:ascii="Times New Roman" w:hAnsi="Times New Roman"/>
          <w:sz w:val="20"/>
          <w:szCs w:val="20"/>
          <w:lang w:val="pt-BR"/>
        </w:rPr>
        <w:t xml:space="preserve"> mestrado em História pela Pontifícia Universidade Católica do Rio de Janeiro</w:t>
      </w:r>
      <w:r>
        <w:rPr>
          <w:rFonts w:ascii="Times New Roman" w:hAnsi="Times New Roman"/>
          <w:sz w:val="20"/>
          <w:szCs w:val="20"/>
          <w:lang w:val="pt-BR"/>
        </w:rPr>
        <w:t xml:space="preserve"> </w:t>
      </w:r>
      <w:r>
        <w:rPr>
          <w:rFonts w:ascii="Times New Roman" w:hAnsi="Times New Roman"/>
          <w:sz w:val="20"/>
          <w:szCs w:val="20"/>
          <w:lang w:val="pt-BR"/>
        </w:rPr>
        <w:t xml:space="preserve">e graduação em História </w:t>
      </w:r>
      <w:r>
        <w:rPr>
          <w:rFonts w:ascii="Times New Roman" w:hAnsi="Times New Roman"/>
          <w:sz w:val="20"/>
          <w:szCs w:val="20"/>
          <w:lang w:val="pt-BR"/>
        </w:rPr>
        <w:t xml:space="preserve">pela Universidade Federal Fluminense. Suas áreas de interesse são música de concerto e músicas populares urbanas ao longo do século XX, relações entre tradição e modernidade e história intelectual. </w:t>
      </w:r>
      <w:r>
        <w:rPr>
          <w:rFonts w:ascii="Times New Roman" w:hAnsi="Times New Roman"/>
          <w:sz w:val="20"/>
          <w:szCs w:val="20"/>
          <w:lang w:val="pt-BR"/>
        </w:rPr>
        <w:t xml:space="preserve">Publicou, entre outros, os artigos </w:t>
      </w:r>
      <w:r>
        <w:rPr>
          <w:rFonts w:ascii="Times New Roman" w:hAnsi="Times New Roman"/>
          <w:i/>
          <w:iCs/>
          <w:sz w:val="20"/>
          <w:szCs w:val="20"/>
          <w:lang w:val="pt-BR"/>
        </w:rPr>
        <w:t>Sociologia da Música: entre o rigor historicista e a crítica de arte</w:t>
      </w:r>
      <w:r>
        <w:rPr>
          <w:rFonts w:ascii="Times New Roman" w:hAnsi="Times New Roman"/>
          <w:sz w:val="20"/>
          <w:szCs w:val="20"/>
          <w:lang w:val="pt-BR"/>
        </w:rPr>
        <w:t xml:space="preserve">, </w:t>
      </w:r>
      <w:r>
        <w:rPr>
          <w:rFonts w:ascii="Times New Roman" w:hAnsi="Times New Roman"/>
          <w:i/>
          <w:iCs/>
          <w:sz w:val="20"/>
          <w:szCs w:val="20"/>
          <w:lang w:val="pt-BR"/>
        </w:rPr>
        <w:t>Limites do Projeto Modernista</w:t>
      </w:r>
      <w:r>
        <w:rPr>
          <w:rFonts w:ascii="Times New Roman" w:hAnsi="Times New Roman"/>
          <w:i w:val="false"/>
          <w:iCs w:val="false"/>
          <w:sz w:val="20"/>
          <w:szCs w:val="20"/>
          <w:lang w:val="pt-BR"/>
        </w:rPr>
        <w:t xml:space="preserve"> e </w:t>
      </w:r>
      <w:r>
        <w:rPr>
          <w:rFonts w:ascii="Times New Roman" w:hAnsi="Times New Roman"/>
          <w:i/>
          <w:iCs/>
          <w:sz w:val="20"/>
          <w:szCs w:val="20"/>
          <w:lang w:val="pt-BR"/>
        </w:rPr>
        <w:t>Estudar a Música Modernista.</w:t>
      </w:r>
    </w:p>
    <w:p>
      <w:pPr>
        <w:pStyle w:val="Corpodotexto"/>
        <w:spacing w:lineRule="auto" w:line="240"/>
        <w:jc w:val="both"/>
        <w:rPr>
          <w:rFonts w:ascii="Times New Roman" w:hAnsi="Times New Roman"/>
          <w:sz w:val="20"/>
          <w:szCs w:val="20"/>
          <w:lang w:val="pt-BR"/>
        </w:rPr>
      </w:pPr>
      <w:r>
        <w:rPr>
          <w:rFonts w:ascii="Times New Roman" w:hAnsi="Times New Roman"/>
          <w:sz w:val="20"/>
          <w:szCs w:val="20"/>
          <w:lang w:val="pt-BR"/>
        </w:rPr>
      </w:r>
    </w:p>
    <w:p>
      <w:pPr>
        <w:pStyle w:val="Corpodotexto"/>
        <w:spacing w:lineRule="auto" w:line="240" w:before="180" w:after="180"/>
        <w:jc w:val="both"/>
        <w:rPr>
          <w:rFonts w:ascii="Times New Roman" w:hAnsi="Times New Roman"/>
          <w:sz w:val="20"/>
          <w:szCs w:val="20"/>
          <w:lang w:val="pt-BR"/>
        </w:rPr>
      </w:pPr>
      <w:r>
        <w:rPr>
          <w:rFonts w:ascii="Times New Roman" w:hAnsi="Times New Roman"/>
          <w:sz w:val="20"/>
          <w:szCs w:val="20"/>
          <w:lang w:val="pt-BR"/>
        </w:rPr>
        <w:t>Frederico Barros is assistant professor of Music History at the Universidade Federal do Rio de Janeiro. He earned hi</w:t>
      </w:r>
      <w:r>
        <w:rPr>
          <w:rFonts w:ascii="Times New Roman" w:hAnsi="Times New Roman"/>
          <w:sz w:val="20"/>
          <w:szCs w:val="20"/>
          <w:lang w:val="pt-BR"/>
        </w:rPr>
        <w:t>s PhD in Sociology at the Universidade de São Paulo, a master’s degree in History</w:t>
      </w:r>
      <w:r>
        <w:rPr>
          <w:rFonts w:ascii="Times New Roman" w:hAnsi="Times New Roman"/>
          <w:sz w:val="20"/>
          <w:szCs w:val="20"/>
          <w:lang w:val="pt-BR"/>
        </w:rPr>
        <w:t xml:space="preserve"> </w:t>
      </w:r>
      <w:r>
        <w:rPr>
          <w:rFonts w:ascii="Times New Roman" w:hAnsi="Times New Roman"/>
          <w:sz w:val="20"/>
          <w:szCs w:val="20"/>
          <w:lang w:val="pt-BR"/>
        </w:rPr>
        <w:t>at the Pontifícia Universidade Católica do Rio de Janeiro and has graduated in</w:t>
      </w:r>
      <w:r>
        <w:rPr>
          <w:rFonts w:ascii="Times New Roman" w:hAnsi="Times New Roman"/>
          <w:sz w:val="20"/>
          <w:szCs w:val="20"/>
          <w:lang w:val="pt-BR"/>
        </w:rPr>
        <w:t xml:space="preserve"> History at </w:t>
      </w:r>
      <w:r>
        <w:rPr>
          <w:rFonts w:ascii="Times New Roman" w:hAnsi="Times New Roman"/>
          <w:sz w:val="20"/>
          <w:szCs w:val="20"/>
          <w:lang w:val="pt-BR"/>
        </w:rPr>
        <w:t xml:space="preserve">the </w:t>
      </w:r>
      <w:r>
        <w:rPr>
          <w:rFonts w:ascii="Times New Roman" w:hAnsi="Times New Roman"/>
          <w:sz w:val="20"/>
          <w:szCs w:val="20"/>
          <w:lang w:val="pt-BR"/>
        </w:rPr>
        <w:t xml:space="preserve">Universidade Federal Fluminense. Areas of interest include 20th Century popular and art musics, relations between tradition and modernity and Intellectual History. </w:t>
      </w:r>
      <w:r>
        <w:rPr>
          <w:rFonts w:ascii="Times New Roman" w:hAnsi="Times New Roman"/>
          <w:sz w:val="20"/>
          <w:szCs w:val="20"/>
          <w:lang w:val="pt-BR"/>
        </w:rPr>
        <w:t xml:space="preserve">He has published, among others, the following articles: </w:t>
      </w:r>
      <w:r>
        <w:rPr>
          <w:rFonts w:ascii="Times New Roman" w:hAnsi="Times New Roman"/>
          <w:i/>
          <w:iCs/>
          <w:sz w:val="20"/>
          <w:szCs w:val="20"/>
          <w:lang w:val="pt-BR"/>
        </w:rPr>
        <w:t>Sociologia da Música: entre o rigor historicista e a crítica de arte</w:t>
      </w:r>
      <w:r>
        <w:rPr>
          <w:rFonts w:ascii="Times New Roman" w:hAnsi="Times New Roman"/>
          <w:sz w:val="20"/>
          <w:szCs w:val="20"/>
          <w:lang w:val="pt-BR"/>
        </w:rPr>
        <w:t xml:space="preserve">, </w:t>
      </w:r>
      <w:r>
        <w:rPr>
          <w:rFonts w:ascii="Times New Roman" w:hAnsi="Times New Roman"/>
          <w:i/>
          <w:iCs/>
          <w:sz w:val="20"/>
          <w:szCs w:val="20"/>
          <w:lang w:val="pt-BR"/>
        </w:rPr>
        <w:t>Limites do Projeto Modernista</w:t>
      </w:r>
      <w:r>
        <w:rPr>
          <w:rFonts w:ascii="Times New Roman" w:hAnsi="Times New Roman"/>
          <w:i w:val="false"/>
          <w:iCs w:val="false"/>
          <w:sz w:val="20"/>
          <w:szCs w:val="20"/>
          <w:lang w:val="pt-BR"/>
        </w:rPr>
        <w:t xml:space="preserve"> and </w:t>
      </w:r>
      <w:r>
        <w:rPr>
          <w:rFonts w:ascii="Times New Roman" w:hAnsi="Times New Roman"/>
          <w:i/>
          <w:iCs/>
          <w:sz w:val="20"/>
          <w:szCs w:val="20"/>
          <w:lang w:val="pt-BR"/>
        </w:rPr>
        <w:t>Estudar a Música Modernista.</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spacing w:lineRule="auto" w:line="240" w:before="0" w:after="200"/>
        <w:jc w:val="both"/>
        <w:rPr/>
      </w:pPr>
      <w:r>
        <w:rPr>
          <w:rStyle w:val="Caracteresdenotaderodap"/>
        </w:rPr>
        <w:footnoteRef/>
      </w:r>
      <w:r>
        <w:rPr/>
        <w:t xml:space="preserve"> </w:t>
      </w:r>
      <w:r>
        <w:rPr>
          <w:rFonts w:ascii="Times New Roman" w:hAnsi="Times New Roman"/>
          <w:sz w:val="20"/>
          <w:szCs w:val="20"/>
        </w:rPr>
        <w:t>Sobre a situação do nacionalismo no período e a importância, por um lado, do Realismo Socialista e, por outro, do serialismo, ver SILVA, 2001, seção “Abrindo uma carta aberta”; KATER, 2001; e FORTE, 1998.</w:t>
      </w:r>
    </w:p>
  </w:footnote>
  <w:footnote w:id="3">
    <w:p>
      <w:pPr>
        <w:pStyle w:val="Notaderodap"/>
        <w:spacing w:before="0" w:after="200"/>
        <w:jc w:val="both"/>
        <w:rPr/>
      </w:pPr>
      <w:r>
        <w:rPr>
          <w:rStyle w:val="Caracteresdenotaderodap"/>
        </w:rPr>
        <w:footnoteRef/>
      </w:r>
      <w:r>
        <w:rPr/>
        <w:t xml:space="preserve"> </w:t>
      </w:r>
      <w:r>
        <w:rPr>
          <w:rFonts w:ascii="Times New Roman" w:hAnsi="Times New Roman"/>
          <w:sz w:val="20"/>
          <w:szCs w:val="20"/>
        </w:rPr>
        <w:t>No que diz respeito à música de Guerra-Peixe, para toda a discussão que se segue a respeito de modos e teoria harmônica, ver</w:t>
      </w:r>
      <w:r>
        <w:rPr>
          <w:rFonts w:ascii="Times New Roman" w:hAnsi="Times New Roman"/>
          <w:sz w:val="20"/>
          <w:szCs w:val="20"/>
        </w:rPr>
        <w:t xml:space="preserve"> BARROS, </w:t>
      </w:r>
      <w:r>
        <w:rPr>
          <w:rFonts w:ascii="Times New Roman" w:hAnsi="Times New Roman"/>
          <w:sz w:val="20"/>
          <w:szCs w:val="20"/>
        </w:rPr>
        <w:t>2013, capítulo 2</w:t>
      </w:r>
      <w:r>
        <w:rPr>
          <w:rFonts w:ascii="Times New Roman" w:hAnsi="Times New Roman"/>
          <w:sz w:val="20"/>
          <w:szCs w:val="20"/>
        </w:rPr>
        <w:t>.</w:t>
      </w:r>
    </w:p>
  </w:footnote>
  <w:footnote w:id="4">
    <w:p>
      <w:pPr>
        <w:pStyle w:val="Notaderodap"/>
        <w:spacing w:before="0" w:after="200"/>
        <w:jc w:val="both"/>
        <w:rPr/>
      </w:pPr>
      <w:r>
        <w:rPr>
          <w:rStyle w:val="Caracteresdenotaderodap"/>
        </w:rPr>
        <w:footnoteRef/>
      </w:r>
      <w:r>
        <w:rPr/>
        <w:t xml:space="preserve"> </w:t>
      </w:r>
      <w:r>
        <w:rPr>
          <w:rFonts w:ascii="Times New Roman" w:hAnsi="Times New Roman"/>
          <w:sz w:val="20"/>
          <w:szCs w:val="20"/>
        </w:rPr>
        <w:t>O tema é discutido também por SALLES (2009, p. 144) a respeito das técnicas de estruturação harmônica de Villa-Lobos.</w:t>
      </w:r>
    </w:p>
  </w:footnote>
  <w:footnote w:id="5">
    <w:p>
      <w:pPr>
        <w:pStyle w:val="Notaderodap"/>
        <w:spacing w:before="0" w:after="200"/>
        <w:rPr/>
      </w:pPr>
      <w:r>
        <w:rPr>
          <w:rStyle w:val="Caracteresdenotaderodap"/>
        </w:rPr>
        <w:footnoteRef/>
      </w:r>
      <w:r>
        <w:rPr/>
        <w:t xml:space="preserve"> </w:t>
      </w:r>
      <w:r>
        <w:rPr>
          <w:rFonts w:ascii="Times New Roman" w:hAnsi="Times New Roman"/>
          <w:sz w:val="20"/>
          <w:szCs w:val="20"/>
        </w:rPr>
        <w:t xml:space="preserve">Há uma discussão a respeito </w:t>
      </w:r>
      <w:r>
        <w:rPr>
          <w:rFonts w:ascii="Times New Roman" w:hAnsi="Times New Roman"/>
          <w:sz w:val="20"/>
          <w:szCs w:val="20"/>
        </w:rPr>
        <w:t xml:space="preserve">também </w:t>
      </w:r>
      <w:r>
        <w:rPr>
          <w:rFonts w:ascii="Times New Roman" w:hAnsi="Times New Roman"/>
          <w:sz w:val="20"/>
          <w:szCs w:val="20"/>
        </w:rPr>
        <w:t xml:space="preserve">em BARROS (2013, cap. 2), mas o tema merece </w:t>
      </w:r>
      <w:r>
        <w:rPr>
          <w:rFonts w:ascii="Times New Roman" w:hAnsi="Times New Roman"/>
          <w:sz w:val="20"/>
          <w:szCs w:val="20"/>
        </w:rPr>
        <w:t xml:space="preserve">uma </w:t>
      </w:r>
      <w:r>
        <w:rPr>
          <w:rFonts w:ascii="Times New Roman" w:hAnsi="Times New Roman"/>
          <w:sz w:val="20"/>
          <w:szCs w:val="20"/>
        </w:rPr>
        <w:t xml:space="preserve">investigação </w:t>
      </w:r>
      <w:r>
        <w:rPr>
          <w:rFonts w:ascii="Times New Roman" w:hAnsi="Times New Roman"/>
          <w:sz w:val="20"/>
          <w:szCs w:val="20"/>
        </w:rPr>
        <w:t>própria.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tulo2">
    <w:name w:val="Heading 2"/>
    <w:basedOn w:val="Normal"/>
    <w:next w:val="Corpodotexto"/>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tulo3">
    <w:name w:val="Heading 3"/>
    <w:basedOn w:val="Normal"/>
    <w:next w:val="Corpodotex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tulo4">
    <w:name w:val="Heading 4"/>
    <w:basedOn w:val="Normal"/>
    <w:next w:val="Corpodotexto"/>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tulo5">
    <w:name w:val="Heading 5"/>
    <w:basedOn w:val="Normal"/>
    <w:next w:val="Corpodo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tulo6">
    <w:name w:val="Heading 6"/>
    <w:basedOn w:val="Normal"/>
    <w:next w:val="Corpodo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tulo7">
    <w:name w:val="Heading 7"/>
    <w:basedOn w:val="Normal"/>
    <w:next w:val="Corpodotex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tulo8">
    <w:name w:val="Heading 8"/>
    <w:basedOn w:val="Normal"/>
    <w:next w:val="Corpodotex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tulo9">
    <w:name w:val="Heading 9"/>
    <w:basedOn w:val="Normal"/>
    <w:next w:val="Corpodotex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BodyTextChar"/>
    <w:qFormat/>
    <w:pPr>
      <w:spacing w:before="180" w:after="180"/>
    </w:pPr>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36" w:after="36"/>
    </w:pPr>
    <w:rPr/>
  </w:style>
  <w:style w:type="paragraph" w:styleId="Ttulododocumento">
    <w:name w:val="Title"/>
    <w:basedOn w:val="Normal"/>
    <w:next w:val="Corpodotex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ulo">
    <w:name w:val="Subtitle"/>
    <w:basedOn w:val="Ttulododocumento"/>
    <w:next w:val="Corpodotexto"/>
    <w:qFormat/>
    <w:pPr>
      <w:keepNext w:val="true"/>
      <w:keepLines/>
      <w:spacing w:before="240" w:after="240"/>
      <w:jc w:val="center"/>
    </w:pPr>
    <w:rPr>
      <w:sz w:val="30"/>
      <w:szCs w:val="30"/>
    </w:rPr>
  </w:style>
  <w:style w:type="paragraph" w:styleId="Author" w:customStyle="1">
    <w:name w:val="Author"/>
    <w:next w:val="Corpodotex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rpodotex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ntato@fredericobarros.com"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LibreOffice/6.2.4.2$Linux_X86_64 LibreOffice_project/20$Build-2</Application>
  <Pages>8</Pages>
  <Words>2612</Words>
  <Characters>14218</Characters>
  <CharactersWithSpaces>16800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2019-06-09T19:53:32Z</dcterms:created>
  <dc:creator/>
  <dc:description/>
  <dc:language>pt-BR</dc:language>
  <cp:lastModifiedBy/>
  <dcterms:modified xsi:type="dcterms:W3CDTF">2019-06-09T17:30:50Z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