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8BEAC5" w14:textId="2E5E72D7" w:rsidR="004A1B4E" w:rsidRPr="004A1B4E" w:rsidRDefault="004A1B4E" w:rsidP="0048490E">
      <w:pPr>
        <w:spacing w:line="240" w:lineRule="auto"/>
        <w:rPr>
          <w:rFonts w:ascii="Times New Roman" w:hAnsi="Times New Roman" w:cs="Times New Roman"/>
          <w:b/>
          <w:bCs/>
        </w:rPr>
      </w:pPr>
      <w:r w:rsidRPr="004A1B4E">
        <w:rPr>
          <w:rFonts w:ascii="Times New Roman" w:hAnsi="Times New Roman" w:cs="Times New Roman"/>
          <w:b/>
          <w:bCs/>
        </w:rPr>
        <w:t>Studying Urban Social Innovation: A Primer</w:t>
      </w:r>
      <w:r w:rsidR="0048490E">
        <w:rPr>
          <w:rStyle w:val="FootnoteReference"/>
          <w:rFonts w:ascii="Times New Roman" w:hAnsi="Times New Roman" w:cs="Times New Roman"/>
          <w:b/>
          <w:bCs/>
        </w:rPr>
        <w:footnoteReference w:id="1"/>
      </w:r>
    </w:p>
    <w:p w14:paraId="4278B743" w14:textId="6748090C" w:rsidR="00916E9A" w:rsidRPr="00916E9A" w:rsidRDefault="00916E9A" w:rsidP="0048490E">
      <w:pPr>
        <w:spacing w:line="240" w:lineRule="auto"/>
        <w:rPr>
          <w:rFonts w:ascii="Times New Roman" w:hAnsi="Times New Roman" w:cs="Times New Roman"/>
          <w:i/>
          <w:iCs/>
        </w:rPr>
      </w:pPr>
      <w:r w:rsidRPr="00916E9A">
        <w:rPr>
          <w:rFonts w:ascii="Times New Roman" w:hAnsi="Times New Roman" w:cs="Times New Roman"/>
          <w:i/>
          <w:iCs/>
        </w:rPr>
        <w:t>What is urban social innovation?</w:t>
      </w:r>
    </w:p>
    <w:p w14:paraId="1F21116F" w14:textId="537114D6" w:rsidR="00916E9A" w:rsidRPr="004A1B4E" w:rsidRDefault="004A1B4E" w:rsidP="0048490E">
      <w:pPr>
        <w:spacing w:line="240" w:lineRule="auto"/>
        <w:rPr>
          <w:rFonts w:ascii="Times New Roman" w:hAnsi="Times New Roman" w:cs="Times New Roman"/>
        </w:rPr>
      </w:pPr>
      <w:r w:rsidRPr="004A1B4E">
        <w:rPr>
          <w:rFonts w:ascii="Times New Roman" w:hAnsi="Times New Roman" w:cs="Times New Roman"/>
        </w:rPr>
        <w:t xml:space="preserve">Urban social innovation refers to novel practices, policies, or organizational arrangements aimed at addressing social or environmental problems that are new to a particular place. The key qualifier here is </w:t>
      </w:r>
      <w:r>
        <w:rPr>
          <w:rFonts w:ascii="Times New Roman" w:hAnsi="Times New Roman" w:cs="Times New Roman"/>
        </w:rPr>
        <w:t>“</w:t>
      </w:r>
      <w:r w:rsidRPr="004A1B4E">
        <w:rPr>
          <w:rFonts w:ascii="Times New Roman" w:hAnsi="Times New Roman" w:cs="Times New Roman"/>
        </w:rPr>
        <w:t>new to a place</w:t>
      </w:r>
      <w:r>
        <w:rPr>
          <w:rFonts w:ascii="Times New Roman" w:hAnsi="Times New Roman" w:cs="Times New Roman"/>
        </w:rPr>
        <w:t>”</w:t>
      </w:r>
      <w:r w:rsidRPr="004A1B4E">
        <w:rPr>
          <w:rFonts w:ascii="Times New Roman" w:hAnsi="Times New Roman" w:cs="Times New Roman"/>
        </w:rPr>
        <w:t xml:space="preserve"> rather than </w:t>
      </w:r>
      <w:r>
        <w:rPr>
          <w:rFonts w:ascii="Times New Roman" w:hAnsi="Times New Roman" w:cs="Times New Roman"/>
        </w:rPr>
        <w:t>“</w:t>
      </w:r>
      <w:r w:rsidRPr="004A1B4E">
        <w:rPr>
          <w:rFonts w:ascii="Times New Roman" w:hAnsi="Times New Roman" w:cs="Times New Roman"/>
        </w:rPr>
        <w:t>new to the world.</w:t>
      </w:r>
      <w:r>
        <w:rPr>
          <w:rFonts w:ascii="Times New Roman" w:hAnsi="Times New Roman" w:cs="Times New Roman"/>
        </w:rPr>
        <w:t>”</w:t>
      </w:r>
      <w:r w:rsidRPr="004A1B4E">
        <w:rPr>
          <w:rFonts w:ascii="Times New Roman" w:hAnsi="Times New Roman" w:cs="Times New Roman"/>
        </w:rPr>
        <w:t xml:space="preserve"> A bike-sharing program, a green infrastructure policy, or a community land trust need not be invented from scratch to count as an innovation in the city that adopts it. What matters is that it represents a departure from existing practice in that local context. This distinction is analytically </w:t>
      </w:r>
      <w:r w:rsidR="004E0E34">
        <w:rPr>
          <w:rFonts w:ascii="Times New Roman" w:hAnsi="Times New Roman" w:cs="Times New Roman"/>
        </w:rPr>
        <w:t>relevant</w:t>
      </w:r>
      <w:r w:rsidRPr="004A1B4E">
        <w:rPr>
          <w:rFonts w:ascii="Times New Roman" w:hAnsi="Times New Roman" w:cs="Times New Roman"/>
        </w:rPr>
        <w:t xml:space="preserve"> because it shifts attention from invention to adoption and diffusion, and from </w:t>
      </w:r>
      <w:r w:rsidR="004E0E34">
        <w:rPr>
          <w:rFonts w:ascii="Times New Roman" w:hAnsi="Times New Roman" w:cs="Times New Roman"/>
        </w:rPr>
        <w:t>individuals</w:t>
      </w:r>
      <w:r w:rsidRPr="004A1B4E">
        <w:rPr>
          <w:rFonts w:ascii="Times New Roman" w:hAnsi="Times New Roman" w:cs="Times New Roman"/>
        </w:rPr>
        <w:t xml:space="preserve"> to the organizational and institutional conditions that enable (or block) the uptake of solutions across cities.</w:t>
      </w:r>
      <w:r w:rsidR="00916E9A">
        <w:rPr>
          <w:rFonts w:ascii="Times New Roman" w:hAnsi="Times New Roman" w:cs="Times New Roman"/>
        </w:rPr>
        <w:t xml:space="preserve"> [</w:t>
      </w:r>
      <w:r w:rsidR="00916E9A" w:rsidRPr="00916E9A">
        <w:rPr>
          <w:rFonts w:ascii="Times New Roman" w:hAnsi="Times New Roman" w:cs="Times New Roman"/>
          <w:i/>
          <w:iCs/>
        </w:rPr>
        <w:t>I should say, I am not at all married to this label—I just think it captures something important that other research, narrowly focused on policy or on organizational practices, misses.]</w:t>
      </w:r>
    </w:p>
    <w:p w14:paraId="27B7A51C" w14:textId="77777777" w:rsidR="004A1B4E" w:rsidRPr="00916E9A" w:rsidRDefault="004A1B4E" w:rsidP="0048490E">
      <w:pPr>
        <w:spacing w:line="240" w:lineRule="auto"/>
        <w:rPr>
          <w:rFonts w:ascii="Times New Roman" w:hAnsi="Times New Roman" w:cs="Times New Roman"/>
          <w:i/>
          <w:iCs/>
        </w:rPr>
      </w:pPr>
      <w:r w:rsidRPr="00916E9A">
        <w:rPr>
          <w:rFonts w:ascii="Times New Roman" w:hAnsi="Times New Roman" w:cs="Times New Roman"/>
          <w:i/>
          <w:iCs/>
        </w:rPr>
        <w:t>Defining Urban Social Innovation</w:t>
      </w:r>
    </w:p>
    <w:p w14:paraId="4B45D91F" w14:textId="49442EA8" w:rsidR="004A1B4E" w:rsidRPr="004A1B4E" w:rsidRDefault="004A1B4E" w:rsidP="0048490E">
      <w:pPr>
        <w:spacing w:line="240" w:lineRule="auto"/>
        <w:rPr>
          <w:rFonts w:ascii="Times New Roman" w:hAnsi="Times New Roman" w:cs="Times New Roman"/>
        </w:rPr>
      </w:pPr>
      <w:r w:rsidRPr="004A1B4E">
        <w:rPr>
          <w:rFonts w:ascii="Times New Roman" w:hAnsi="Times New Roman" w:cs="Times New Roman"/>
        </w:rPr>
        <w:t xml:space="preserve">Urban social innovation sits at the intersection of two literatures. One concerns social innovation broadly, meaning novel approaches to social problems that often emerge outside of traditional market or state channels. The other concerns urban governance, meaning the institutional arrangements through which cities coordinate collective action. Combining these, urban social innovation can be understood as </w:t>
      </w:r>
      <w:r w:rsidRPr="004E0E34">
        <w:rPr>
          <w:rFonts w:ascii="Times New Roman" w:hAnsi="Times New Roman" w:cs="Times New Roman"/>
          <w:u w:val="single"/>
        </w:rPr>
        <w:t xml:space="preserve">locally adopted practices or policies that </w:t>
      </w:r>
      <w:r w:rsidR="004E0E34" w:rsidRPr="004E0E34">
        <w:rPr>
          <w:rFonts w:ascii="Times New Roman" w:hAnsi="Times New Roman" w:cs="Times New Roman"/>
          <w:u w:val="single"/>
        </w:rPr>
        <w:t xml:space="preserve">(claim to) </w:t>
      </w:r>
      <w:r w:rsidRPr="004E0E34">
        <w:rPr>
          <w:rFonts w:ascii="Times New Roman" w:hAnsi="Times New Roman" w:cs="Times New Roman"/>
          <w:u w:val="single"/>
        </w:rPr>
        <w:t xml:space="preserve">respond to social or environmental challenges through </w:t>
      </w:r>
      <w:r w:rsidR="004E0E34">
        <w:rPr>
          <w:rFonts w:ascii="Times New Roman" w:hAnsi="Times New Roman" w:cs="Times New Roman"/>
          <w:u w:val="single"/>
        </w:rPr>
        <w:t xml:space="preserve">new combinations </w:t>
      </w:r>
      <w:r w:rsidRPr="004E0E34">
        <w:rPr>
          <w:rFonts w:ascii="Times New Roman" w:hAnsi="Times New Roman" w:cs="Times New Roman"/>
          <w:u w:val="single"/>
        </w:rPr>
        <w:t>of actors, resources, and rules</w:t>
      </w:r>
      <w:r w:rsidRPr="004A1B4E">
        <w:rPr>
          <w:rFonts w:ascii="Times New Roman" w:hAnsi="Times New Roman" w:cs="Times New Roman"/>
        </w:rPr>
        <w:t>.</w:t>
      </w:r>
      <w:r w:rsidR="0048490E">
        <w:rPr>
          <w:rFonts w:ascii="Times New Roman" w:hAnsi="Times New Roman" w:cs="Times New Roman"/>
        </w:rPr>
        <w:t xml:space="preserve"> </w:t>
      </w:r>
    </w:p>
    <w:p w14:paraId="1A10499B" w14:textId="55FA9659" w:rsidR="004A1B4E" w:rsidRPr="004A1B4E" w:rsidRDefault="004A1B4E" w:rsidP="0048490E">
      <w:pPr>
        <w:spacing w:line="240" w:lineRule="auto"/>
        <w:rPr>
          <w:rFonts w:ascii="Times New Roman" w:hAnsi="Times New Roman" w:cs="Times New Roman"/>
        </w:rPr>
      </w:pPr>
      <w:r w:rsidRPr="004A1B4E">
        <w:rPr>
          <w:rFonts w:ascii="Times New Roman" w:hAnsi="Times New Roman" w:cs="Times New Roman"/>
        </w:rPr>
        <w:t>This framing draws on a view of cities not merely as containers for problems but as active organizational fields where diverse actors, including municipal governments, nonprofits, businesses, and civic associations, interact to produce governance outcomes</w:t>
      </w:r>
      <w:r w:rsidR="004E0E34">
        <w:rPr>
          <w:rFonts w:ascii="Times New Roman" w:hAnsi="Times New Roman" w:cs="Times New Roman"/>
        </w:rPr>
        <w:t xml:space="preserve"> (see the book)</w:t>
      </w:r>
      <w:r w:rsidRPr="004A1B4E">
        <w:rPr>
          <w:rFonts w:ascii="Times New Roman" w:hAnsi="Times New Roman" w:cs="Times New Roman"/>
        </w:rPr>
        <w:t>. Brandtner and colleagues (2016</w:t>
      </w:r>
      <w:r w:rsidR="004E0E34">
        <w:rPr>
          <w:rFonts w:ascii="Times New Roman" w:hAnsi="Times New Roman" w:cs="Times New Roman"/>
        </w:rPr>
        <w:t xml:space="preserve">, </w:t>
      </w:r>
      <w:r w:rsidR="004E0E34" w:rsidRPr="004E0E34">
        <w:rPr>
          <w:rFonts w:ascii="Times New Roman" w:hAnsi="Times New Roman" w:cs="Times New Roman"/>
          <w:i/>
          <w:iCs/>
        </w:rPr>
        <w:t>USJ</w:t>
      </w:r>
      <w:r w:rsidRPr="004A1B4E">
        <w:rPr>
          <w:rFonts w:ascii="Times New Roman" w:hAnsi="Times New Roman" w:cs="Times New Roman"/>
        </w:rPr>
        <w:t>) show in their comparative study of Sydney and Vienna that cities differ markedly in how they configure governance through strategy. Sydney relied on market-oriented mechanisms coordinated through strategic planning, while Vienna drew on corporatist traditions and public-sector capacity. These different governance configurations shaped what kinds of innovations were possible, who participated in producing them, and what they ultimately looked like. The implication is that urban social innovation is not a generic phenomenon but one deeply embedded in local institutional arrangements.</w:t>
      </w:r>
    </w:p>
    <w:p w14:paraId="40311966" w14:textId="199C6D1C" w:rsidR="004A1B4E" w:rsidRPr="00916E9A" w:rsidRDefault="004A1B4E" w:rsidP="0048490E">
      <w:pPr>
        <w:spacing w:line="240" w:lineRule="auto"/>
        <w:rPr>
          <w:rFonts w:ascii="Times New Roman" w:hAnsi="Times New Roman" w:cs="Times New Roman"/>
          <w:i/>
          <w:iCs/>
        </w:rPr>
      </w:pPr>
      <w:r w:rsidRPr="00916E9A">
        <w:rPr>
          <w:rFonts w:ascii="Times New Roman" w:hAnsi="Times New Roman" w:cs="Times New Roman"/>
          <w:i/>
          <w:iCs/>
        </w:rPr>
        <w:t>Examples of Success and Failure</w:t>
      </w:r>
    </w:p>
    <w:p w14:paraId="36A83499" w14:textId="29EFA4B8" w:rsidR="004A1B4E" w:rsidRPr="004A1B4E" w:rsidRDefault="004A1B4E" w:rsidP="0048490E">
      <w:pPr>
        <w:spacing w:line="240" w:lineRule="auto"/>
        <w:rPr>
          <w:rFonts w:ascii="Times New Roman" w:hAnsi="Times New Roman" w:cs="Times New Roman"/>
        </w:rPr>
      </w:pPr>
      <w:r w:rsidRPr="004A1B4E">
        <w:rPr>
          <w:rFonts w:ascii="Times New Roman" w:hAnsi="Times New Roman" w:cs="Times New Roman"/>
        </w:rPr>
        <w:lastRenderedPageBreak/>
        <w:t>Successful urban social innovations tend to share certain features: they are adapted to the local institutional environment, they draw on distributed civic capacity, and they often combine pragmatic problem-solving with broader normative commitments. Brandtner (2022</w:t>
      </w:r>
      <w:r w:rsidR="004E0E34">
        <w:rPr>
          <w:rFonts w:ascii="Times New Roman" w:hAnsi="Times New Roman" w:cs="Times New Roman"/>
        </w:rPr>
        <w:t xml:space="preserve">, </w:t>
      </w:r>
      <w:r w:rsidR="004E0E34" w:rsidRPr="004E0E34">
        <w:rPr>
          <w:rFonts w:ascii="Times New Roman" w:hAnsi="Times New Roman" w:cs="Times New Roman"/>
          <w:i/>
          <w:iCs/>
        </w:rPr>
        <w:t>AJS</w:t>
      </w:r>
      <w:r w:rsidRPr="004A1B4E">
        <w:rPr>
          <w:rFonts w:ascii="Times New Roman" w:hAnsi="Times New Roman" w:cs="Times New Roman"/>
        </w:rPr>
        <w:t xml:space="preserve">) demonstrates this in the case of urban sustainability innovations across </w:t>
      </w:r>
      <w:r w:rsidR="004E0E34">
        <w:rPr>
          <w:rFonts w:ascii="Times New Roman" w:hAnsi="Times New Roman" w:cs="Times New Roman"/>
        </w:rPr>
        <w:t xml:space="preserve">US </w:t>
      </w:r>
      <w:r w:rsidRPr="004A1B4E">
        <w:rPr>
          <w:rFonts w:ascii="Times New Roman" w:hAnsi="Times New Roman" w:cs="Times New Roman"/>
        </w:rPr>
        <w:t xml:space="preserve">American cities. The adoption of green policies and practices, including things like climate action plans, green building codes, and urban forestry programs, was driven not primarily by municipal governments acting alone but by the density and diversity of civic organizations in a city. </w:t>
      </w:r>
      <w:r w:rsidRPr="000B48E8">
        <w:rPr>
          <w:rFonts w:ascii="Times New Roman" w:hAnsi="Times New Roman" w:cs="Times New Roman"/>
          <w:highlight w:val="yellow"/>
        </w:rPr>
        <w:t>Cities with richer associational ecologies were more likely to adopt a wider range of sustainability innovations, because nonprofits, advocacy groups, and professional associations served as carriers of ideas, translators of policy models, and sources of implementation capacity. The innovation was “distributed” across the organizational field rather than concentrated in city hall.</w:t>
      </w:r>
    </w:p>
    <w:p w14:paraId="29ED4D7D" w14:textId="6F7BE4D6" w:rsidR="004A1B4E" w:rsidRPr="004A1B4E" w:rsidRDefault="004A1B4E" w:rsidP="0048490E">
      <w:pPr>
        <w:spacing w:line="240" w:lineRule="auto"/>
        <w:rPr>
          <w:rFonts w:ascii="Times New Roman" w:hAnsi="Times New Roman" w:cs="Times New Roman"/>
        </w:rPr>
      </w:pPr>
      <w:r w:rsidRPr="004A1B4E">
        <w:rPr>
          <w:rFonts w:ascii="Times New Roman" w:hAnsi="Times New Roman" w:cs="Times New Roman"/>
        </w:rPr>
        <w:t>Gonzalez and Brandtner (2024</w:t>
      </w:r>
      <w:r w:rsidR="004E0E34">
        <w:rPr>
          <w:rFonts w:ascii="Times New Roman" w:hAnsi="Times New Roman" w:cs="Times New Roman"/>
        </w:rPr>
        <w:t xml:space="preserve">, </w:t>
      </w:r>
      <w:r w:rsidR="004E0E34" w:rsidRPr="004E0E34">
        <w:rPr>
          <w:rFonts w:ascii="Times New Roman" w:hAnsi="Times New Roman" w:cs="Times New Roman"/>
          <w:i/>
          <w:iCs/>
        </w:rPr>
        <w:t>USJ</w:t>
      </w:r>
      <w:r w:rsidRPr="004A1B4E">
        <w:rPr>
          <w:rFonts w:ascii="Times New Roman" w:hAnsi="Times New Roman" w:cs="Times New Roman"/>
        </w:rPr>
        <w:t xml:space="preserve">) add nuance by showing that </w:t>
      </w:r>
      <w:r w:rsidRPr="00B6091B">
        <w:rPr>
          <w:rFonts w:ascii="Times New Roman" w:hAnsi="Times New Roman" w:cs="Times New Roman"/>
          <w:highlight w:val="yellow"/>
        </w:rPr>
        <w:t>cities pursue sustainability through different institutional pathways</w:t>
      </w:r>
      <w:r w:rsidRPr="004A1B4E">
        <w:rPr>
          <w:rFonts w:ascii="Times New Roman" w:hAnsi="Times New Roman" w:cs="Times New Roman"/>
        </w:rPr>
        <w:t xml:space="preserve">. Some cities adopt what the authors call </w:t>
      </w:r>
      <w:r>
        <w:rPr>
          <w:rFonts w:ascii="Times New Roman" w:hAnsi="Times New Roman" w:cs="Times New Roman"/>
        </w:rPr>
        <w:t>“</w:t>
      </w:r>
      <w:r w:rsidRPr="00B6091B">
        <w:rPr>
          <w:rFonts w:ascii="Times New Roman" w:hAnsi="Times New Roman" w:cs="Times New Roman"/>
          <w:highlight w:val="yellow"/>
        </w:rPr>
        <w:t>progressive</w:t>
      </w:r>
      <w:r>
        <w:rPr>
          <w:rFonts w:ascii="Times New Roman" w:hAnsi="Times New Roman" w:cs="Times New Roman"/>
        </w:rPr>
        <w:t>”</w:t>
      </w:r>
      <w:r w:rsidRPr="004A1B4E">
        <w:rPr>
          <w:rFonts w:ascii="Times New Roman" w:hAnsi="Times New Roman" w:cs="Times New Roman"/>
        </w:rPr>
        <w:t xml:space="preserve"> approaches, enacting ambitious policies aligned with environmental values. Others take a more </w:t>
      </w:r>
      <w:r>
        <w:rPr>
          <w:rFonts w:ascii="Times New Roman" w:hAnsi="Times New Roman" w:cs="Times New Roman"/>
        </w:rPr>
        <w:t>“</w:t>
      </w:r>
      <w:r w:rsidRPr="00B6091B">
        <w:rPr>
          <w:rFonts w:ascii="Times New Roman" w:hAnsi="Times New Roman" w:cs="Times New Roman"/>
          <w:highlight w:val="yellow"/>
        </w:rPr>
        <w:t>pragmatic</w:t>
      </w:r>
      <w:r>
        <w:rPr>
          <w:rFonts w:ascii="Times New Roman" w:hAnsi="Times New Roman" w:cs="Times New Roman"/>
        </w:rPr>
        <w:t>”</w:t>
      </w:r>
      <w:r w:rsidRPr="004A1B4E">
        <w:rPr>
          <w:rFonts w:ascii="Times New Roman" w:hAnsi="Times New Roman" w:cs="Times New Roman"/>
        </w:rPr>
        <w:t xml:space="preserve"> route, embedding sustainability in economic development or operational efficiency frames. </w:t>
      </w:r>
      <w:r w:rsidRPr="00B6091B">
        <w:rPr>
          <w:rFonts w:ascii="Times New Roman" w:hAnsi="Times New Roman" w:cs="Times New Roman"/>
          <w:highlight w:val="yellow"/>
        </w:rPr>
        <w:t>Both pathways can produce meaningful outcomes, but they mobilize different coalitions and encounter different forms of resistance.</w:t>
      </w:r>
      <w:r w:rsidRPr="004A1B4E">
        <w:rPr>
          <w:rFonts w:ascii="Times New Roman" w:hAnsi="Times New Roman" w:cs="Times New Roman"/>
        </w:rPr>
        <w:t xml:space="preserve"> This matters because it suggests that a single model of </w:t>
      </w:r>
      <w:r>
        <w:rPr>
          <w:rFonts w:ascii="Times New Roman" w:hAnsi="Times New Roman" w:cs="Times New Roman"/>
        </w:rPr>
        <w:t>“</w:t>
      </w:r>
      <w:r w:rsidRPr="004A1B4E">
        <w:rPr>
          <w:rFonts w:ascii="Times New Roman" w:hAnsi="Times New Roman" w:cs="Times New Roman"/>
        </w:rPr>
        <w:t>best practice</w:t>
      </w:r>
      <w:r>
        <w:rPr>
          <w:rFonts w:ascii="Times New Roman" w:hAnsi="Times New Roman" w:cs="Times New Roman"/>
        </w:rPr>
        <w:t>”</w:t>
      </w:r>
      <w:r w:rsidRPr="004A1B4E">
        <w:rPr>
          <w:rFonts w:ascii="Times New Roman" w:hAnsi="Times New Roman" w:cs="Times New Roman"/>
        </w:rPr>
        <w:t xml:space="preserve"> in urban social innovation is unlikely to travel well across cities with different political and institutional profiles. Successful innovation requires fit between the solution and the local context.</w:t>
      </w:r>
    </w:p>
    <w:p w14:paraId="31A4EF4A" w14:textId="6C59E463" w:rsidR="004A1B4E" w:rsidRPr="004A1B4E" w:rsidRDefault="004A1B4E" w:rsidP="0048490E">
      <w:pPr>
        <w:spacing w:line="240" w:lineRule="auto"/>
        <w:rPr>
          <w:rFonts w:ascii="Times New Roman" w:hAnsi="Times New Roman" w:cs="Times New Roman"/>
        </w:rPr>
      </w:pPr>
      <w:r w:rsidRPr="004A1B4E">
        <w:rPr>
          <w:rFonts w:ascii="Times New Roman" w:hAnsi="Times New Roman" w:cs="Times New Roman"/>
        </w:rPr>
        <w:t>Failure, meanwhile, often stems from mismatches between innovations and the institutional environments into which they are introduced. A policy that works in a city with strong nonprofit infrastructure and progressive political culture may falter in a city that lacks these conditions. Brandtner (2023</w:t>
      </w:r>
      <w:r w:rsidR="004E0E34">
        <w:rPr>
          <w:rFonts w:ascii="Times New Roman" w:hAnsi="Times New Roman" w:cs="Times New Roman"/>
        </w:rPr>
        <w:t xml:space="preserve">, </w:t>
      </w:r>
      <w:r w:rsidR="004E0E34" w:rsidRPr="004E0E34">
        <w:rPr>
          <w:rFonts w:ascii="Times New Roman" w:hAnsi="Times New Roman" w:cs="Times New Roman"/>
          <w:i/>
          <w:iCs/>
        </w:rPr>
        <w:t>SSIR</w:t>
      </w:r>
      <w:r w:rsidRPr="004A1B4E">
        <w:rPr>
          <w:rFonts w:ascii="Times New Roman" w:hAnsi="Times New Roman" w:cs="Times New Roman"/>
        </w:rPr>
        <w:t xml:space="preserve">) raises this issue directly in asking whether cities can be sources of scalable innovations. The answer is qualified: cities are excellent laboratories for experimentation, but </w:t>
      </w:r>
      <w:r w:rsidRPr="004A3C65">
        <w:rPr>
          <w:rFonts w:ascii="Times New Roman" w:hAnsi="Times New Roman" w:cs="Times New Roman"/>
          <w:highlight w:val="yellow"/>
        </w:rPr>
        <w:t>the very features that make local innovations work, including their embeddedness in particular networks, political coalitions, and organizational ecologies, can also make them difficult to transfer</w:t>
      </w:r>
      <w:r w:rsidRPr="004A1B4E">
        <w:rPr>
          <w:rFonts w:ascii="Times New Roman" w:hAnsi="Times New Roman" w:cs="Times New Roman"/>
        </w:rPr>
        <w:t>. Scaling urban social innovation is not simply a matter of replication but requires understanding the institutional preconditions for adoption.</w:t>
      </w:r>
    </w:p>
    <w:p w14:paraId="4884169D" w14:textId="02533F45" w:rsidR="00E84230" w:rsidRDefault="004A1B4E" w:rsidP="0048490E">
      <w:pPr>
        <w:spacing w:line="240" w:lineRule="auto"/>
        <w:rPr>
          <w:rFonts w:ascii="Times New Roman" w:hAnsi="Times New Roman" w:cs="Times New Roman"/>
        </w:rPr>
      </w:pPr>
      <w:r w:rsidRPr="004A1B4E">
        <w:rPr>
          <w:rFonts w:ascii="Times New Roman" w:hAnsi="Times New Roman" w:cs="Times New Roman"/>
        </w:rPr>
        <w:t>The COVID-19 pandemic offers another instructive case. Brandtner and colleagues (2021</w:t>
      </w:r>
      <w:r w:rsidR="004E0E34">
        <w:rPr>
          <w:rFonts w:ascii="Times New Roman" w:hAnsi="Times New Roman" w:cs="Times New Roman"/>
        </w:rPr>
        <w:t xml:space="preserve">, </w:t>
      </w:r>
      <w:r w:rsidR="004E0E34" w:rsidRPr="004E0E34">
        <w:rPr>
          <w:rFonts w:ascii="Times New Roman" w:hAnsi="Times New Roman" w:cs="Times New Roman"/>
          <w:i/>
          <w:iCs/>
        </w:rPr>
        <w:t>PLOS ONE</w:t>
      </w:r>
      <w:r w:rsidRPr="004A1B4E">
        <w:rPr>
          <w:rFonts w:ascii="Times New Roman" w:hAnsi="Times New Roman" w:cs="Times New Roman"/>
        </w:rPr>
        <w:t>) show that when U.S. states were slow to act in the early pandemic response, metropolitan counties stepped in to compensate, adopting emergency measures like stay-at-home orders and business restrictions ahead of state mandates. This was a form of rapid, crisis-driven social innovation at the urban-metropolitan scale. It succeeded in the short term because counties had the jurisdictional authority and organizational capacity to act. But it also revealed the fragility of locally driven innovation: county-level responses were uneven, shaped by political orientation and institutional resources, and ultimately constrained by state preemption. The episode illustrates both the promise and the limits of cities as sites of social innovation.</w:t>
      </w:r>
    </w:p>
    <w:p w14:paraId="7F0AE73E" w14:textId="219ABC82" w:rsidR="004A1B4E" w:rsidRPr="0077524B" w:rsidRDefault="004A1B4E" w:rsidP="00E84230">
      <w:pPr>
        <w:spacing w:line="240" w:lineRule="auto"/>
        <w:rPr>
          <w:rFonts w:ascii="Times New Roman" w:hAnsi="Times New Roman" w:cs="Times New Roman"/>
          <w:i/>
          <w:iCs/>
        </w:rPr>
      </w:pPr>
      <w:r w:rsidRPr="0077524B">
        <w:rPr>
          <w:rFonts w:ascii="Times New Roman" w:hAnsi="Times New Roman" w:cs="Times New Roman"/>
          <w:i/>
          <w:iCs/>
        </w:rPr>
        <w:t>Operationalizing and Measuring Urban Social Innovation at Scale</w:t>
      </w:r>
    </w:p>
    <w:p w14:paraId="605632BA" w14:textId="38848B94" w:rsidR="004A1B4E" w:rsidRPr="004A1B4E" w:rsidRDefault="004A1B4E" w:rsidP="0048490E">
      <w:pPr>
        <w:spacing w:line="240" w:lineRule="auto"/>
        <w:rPr>
          <w:rFonts w:ascii="Times New Roman" w:hAnsi="Times New Roman" w:cs="Times New Roman"/>
        </w:rPr>
      </w:pPr>
      <w:r w:rsidRPr="004A1B4E">
        <w:rPr>
          <w:rFonts w:ascii="Times New Roman" w:hAnsi="Times New Roman" w:cs="Times New Roman"/>
        </w:rPr>
        <w:t>Measuring urban social innovation at scale p</w:t>
      </w:r>
      <w:r w:rsidR="00916E9A">
        <w:rPr>
          <w:rFonts w:ascii="Times New Roman" w:hAnsi="Times New Roman" w:cs="Times New Roman"/>
        </w:rPr>
        <w:t>ose</w:t>
      </w:r>
      <w:r w:rsidRPr="004A1B4E">
        <w:rPr>
          <w:rFonts w:ascii="Times New Roman" w:hAnsi="Times New Roman" w:cs="Times New Roman"/>
        </w:rPr>
        <w:t xml:space="preserve">s </w:t>
      </w:r>
      <w:r w:rsidR="00916E9A">
        <w:rPr>
          <w:rFonts w:ascii="Times New Roman" w:hAnsi="Times New Roman" w:cs="Times New Roman"/>
        </w:rPr>
        <w:t xml:space="preserve">a </w:t>
      </w:r>
      <w:r w:rsidRPr="004A1B4E">
        <w:rPr>
          <w:rFonts w:ascii="Times New Roman" w:hAnsi="Times New Roman" w:cs="Times New Roman"/>
        </w:rPr>
        <w:t>methodological challenge</w:t>
      </w:r>
      <w:r w:rsidR="00916E9A">
        <w:rPr>
          <w:rFonts w:ascii="Times New Roman" w:hAnsi="Times New Roman" w:cs="Times New Roman"/>
        </w:rPr>
        <w:t xml:space="preserve"> because no single measure is readily available</w:t>
      </w:r>
      <w:r w:rsidRPr="004A1B4E">
        <w:rPr>
          <w:rFonts w:ascii="Times New Roman" w:hAnsi="Times New Roman" w:cs="Times New Roman"/>
        </w:rPr>
        <w:t>. The concept is multidimensional, context-dependent, and not easily captured by a single indicator. Still, several strategies have proven productive.</w:t>
      </w:r>
    </w:p>
    <w:p w14:paraId="65E4F77D" w14:textId="65D8FE57" w:rsidR="004A1B4E" w:rsidRPr="004A1B4E" w:rsidRDefault="004A1B4E" w:rsidP="00311964">
      <w:pPr>
        <w:spacing w:line="240" w:lineRule="auto"/>
        <w:ind w:left="720"/>
        <w:rPr>
          <w:rFonts w:ascii="Times New Roman" w:hAnsi="Times New Roman" w:cs="Times New Roman"/>
        </w:rPr>
      </w:pPr>
      <w:r w:rsidRPr="004A1B4E">
        <w:rPr>
          <w:rFonts w:ascii="Times New Roman" w:hAnsi="Times New Roman" w:cs="Times New Roman"/>
        </w:rPr>
        <w:lastRenderedPageBreak/>
        <w:t xml:space="preserve">One approach is to track the adoption of specific, identifiable policy innovations across a large sample of cities over time. Brandtner </w:t>
      </w:r>
      <w:r w:rsidR="004E0E34">
        <w:rPr>
          <w:rFonts w:ascii="Times New Roman" w:hAnsi="Times New Roman" w:cs="Times New Roman"/>
        </w:rPr>
        <w:t xml:space="preserve">and Suárez </w:t>
      </w:r>
      <w:r w:rsidRPr="004A1B4E">
        <w:rPr>
          <w:rFonts w:ascii="Times New Roman" w:hAnsi="Times New Roman" w:cs="Times New Roman"/>
        </w:rPr>
        <w:t>(202</w:t>
      </w:r>
      <w:r w:rsidR="004E0E34">
        <w:rPr>
          <w:rFonts w:ascii="Times New Roman" w:hAnsi="Times New Roman" w:cs="Times New Roman"/>
        </w:rPr>
        <w:t xml:space="preserve">1, </w:t>
      </w:r>
      <w:r w:rsidR="004E0E34">
        <w:rPr>
          <w:rFonts w:ascii="Times New Roman" w:hAnsi="Times New Roman" w:cs="Times New Roman"/>
          <w:i/>
          <w:iCs/>
        </w:rPr>
        <w:t>ARPA</w:t>
      </w:r>
      <w:r w:rsidRPr="004A1B4E">
        <w:rPr>
          <w:rFonts w:ascii="Times New Roman" w:hAnsi="Times New Roman" w:cs="Times New Roman"/>
        </w:rPr>
        <w:t xml:space="preserve">) does this by constructing </w:t>
      </w:r>
      <w:r w:rsidRPr="00FA74C6">
        <w:rPr>
          <w:rFonts w:ascii="Times New Roman" w:hAnsi="Times New Roman" w:cs="Times New Roman"/>
          <w:highlight w:val="yellow"/>
        </w:rPr>
        <w:t xml:space="preserve">a dataset of sustainability-related policies and practices adopted by hundreds of U.S. cities, drawing on survey data </w:t>
      </w:r>
      <w:r w:rsidR="004E0E34" w:rsidRPr="00FA74C6">
        <w:rPr>
          <w:rFonts w:ascii="Times New Roman" w:hAnsi="Times New Roman" w:cs="Times New Roman"/>
          <w:highlight w:val="yellow"/>
        </w:rPr>
        <w:t>from ICMA</w:t>
      </w:r>
      <w:r w:rsidRPr="00FA74C6">
        <w:rPr>
          <w:rFonts w:ascii="Times New Roman" w:hAnsi="Times New Roman" w:cs="Times New Roman"/>
          <w:highlight w:val="yellow"/>
        </w:rPr>
        <w:t>. Each</w:t>
      </w:r>
      <w:r w:rsidR="004E0E34" w:rsidRPr="00FA74C6">
        <w:rPr>
          <w:rFonts w:ascii="Times New Roman" w:hAnsi="Times New Roman" w:cs="Times New Roman"/>
          <w:highlight w:val="yellow"/>
        </w:rPr>
        <w:t xml:space="preserve"> sustainability practice</w:t>
      </w:r>
      <w:r w:rsidRPr="00FA74C6">
        <w:rPr>
          <w:rFonts w:ascii="Times New Roman" w:hAnsi="Times New Roman" w:cs="Times New Roman"/>
          <w:highlight w:val="yellow"/>
        </w:rPr>
        <w:t xml:space="preserve"> is coded as present or absent, and the analysis examines what organizational and demographic characteristics of cities predict earlier or broader adoption</w:t>
      </w:r>
      <w:r w:rsidRPr="004A1B4E">
        <w:rPr>
          <w:rFonts w:ascii="Times New Roman" w:hAnsi="Times New Roman" w:cs="Times New Roman"/>
        </w:rPr>
        <w:t>.</w:t>
      </w:r>
    </w:p>
    <w:p w14:paraId="7C7D7A02" w14:textId="4D4F25CE" w:rsidR="004A1B4E" w:rsidRPr="00311964" w:rsidRDefault="004A1B4E" w:rsidP="00311964">
      <w:pPr>
        <w:spacing w:line="240" w:lineRule="auto"/>
        <w:ind w:left="720"/>
        <w:rPr>
          <w:rFonts w:ascii="Times New Roman" w:hAnsi="Times New Roman" w:cs="Times New Roman"/>
          <w:i/>
          <w:iCs/>
        </w:rPr>
      </w:pPr>
      <w:r w:rsidRPr="004A1B4E">
        <w:rPr>
          <w:rFonts w:ascii="Times New Roman" w:hAnsi="Times New Roman" w:cs="Times New Roman"/>
        </w:rPr>
        <w:t xml:space="preserve">A second approach focuses on the institutional pathways through which innovations are pursued, rather than counting innovations per se. Gonzalez and Brandtner (2024) use </w:t>
      </w:r>
      <w:r w:rsidRPr="00FA74C6">
        <w:rPr>
          <w:rFonts w:ascii="Times New Roman" w:hAnsi="Times New Roman" w:cs="Times New Roman"/>
          <w:highlight w:val="yellow"/>
        </w:rPr>
        <w:t>(qualitative) cluster analysis to identify distinct configurations of sustainability strategies across cities, distinguishing pragmatic from progressive approaches</w:t>
      </w:r>
      <w:r w:rsidRPr="004A1B4E">
        <w:rPr>
          <w:rFonts w:ascii="Times New Roman" w:hAnsi="Times New Roman" w:cs="Times New Roman"/>
        </w:rPr>
        <w:t xml:space="preserve">. This kind of typological measurement captures </w:t>
      </w:r>
      <w:r w:rsidRPr="00FA74C6">
        <w:rPr>
          <w:rFonts w:ascii="Times New Roman" w:hAnsi="Times New Roman" w:cs="Times New Roman"/>
          <w:highlight w:val="yellow"/>
        </w:rPr>
        <w:t>qualitative variation in how cities innovate</w:t>
      </w:r>
      <w:r w:rsidRPr="004A1B4E">
        <w:rPr>
          <w:rFonts w:ascii="Times New Roman" w:hAnsi="Times New Roman" w:cs="Times New Roman"/>
        </w:rPr>
        <w:t xml:space="preserve">, not just whether they do. </w:t>
      </w:r>
      <w:r w:rsidR="00311964">
        <w:rPr>
          <w:rFonts w:ascii="Times New Roman" w:hAnsi="Times New Roman" w:cs="Times New Roman"/>
          <w:i/>
          <w:iCs/>
        </w:rPr>
        <w:t>[</w:t>
      </w:r>
      <w:r w:rsidR="004E0E34" w:rsidRPr="00311964">
        <w:rPr>
          <w:rFonts w:ascii="Times New Roman" w:hAnsi="Times New Roman" w:cs="Times New Roman"/>
          <w:i/>
          <w:iCs/>
        </w:rPr>
        <w:t>Chapter 3 in my</w:t>
      </w:r>
      <w:r w:rsidRPr="00311964">
        <w:rPr>
          <w:rFonts w:ascii="Times New Roman" w:hAnsi="Times New Roman" w:cs="Times New Roman"/>
          <w:i/>
          <w:iCs/>
        </w:rPr>
        <w:t xml:space="preserve"> book also uses network analysis to cluster cities by their membership in inter-city associations.</w:t>
      </w:r>
      <w:r w:rsidR="00311964">
        <w:rPr>
          <w:rFonts w:ascii="Times New Roman" w:hAnsi="Times New Roman" w:cs="Times New Roman"/>
          <w:i/>
          <w:iCs/>
        </w:rPr>
        <w:t xml:space="preserve"> I think too complicated here.]</w:t>
      </w:r>
    </w:p>
    <w:p w14:paraId="51B2AD50" w14:textId="7044C2F9" w:rsidR="004A1B4E" w:rsidRPr="004A1B4E" w:rsidRDefault="004A1B4E" w:rsidP="00311964">
      <w:pPr>
        <w:spacing w:line="240" w:lineRule="auto"/>
        <w:ind w:left="720"/>
        <w:rPr>
          <w:rFonts w:ascii="Times New Roman" w:hAnsi="Times New Roman" w:cs="Times New Roman"/>
        </w:rPr>
      </w:pPr>
      <w:r w:rsidRPr="004A1B4E">
        <w:rPr>
          <w:rFonts w:ascii="Times New Roman" w:hAnsi="Times New Roman" w:cs="Times New Roman"/>
        </w:rPr>
        <w:t>A third strategy, useful for crisis contexts, is to exploit temporal variation in policy adoption to identify the conditions under which innovation occurs. Brandtner et al. (2021</w:t>
      </w:r>
      <w:r w:rsidR="004E0E34">
        <w:rPr>
          <w:rFonts w:ascii="Times New Roman" w:hAnsi="Times New Roman" w:cs="Times New Roman"/>
        </w:rPr>
        <w:t xml:space="preserve">, </w:t>
      </w:r>
      <w:r w:rsidR="004E0E34" w:rsidRPr="004E0E34">
        <w:rPr>
          <w:rFonts w:ascii="Times New Roman" w:hAnsi="Times New Roman" w:cs="Times New Roman"/>
          <w:i/>
          <w:iCs/>
        </w:rPr>
        <w:t>PLOS ONE</w:t>
      </w:r>
      <w:r w:rsidRPr="004A1B4E">
        <w:rPr>
          <w:rFonts w:ascii="Times New Roman" w:hAnsi="Times New Roman" w:cs="Times New Roman"/>
        </w:rPr>
        <w:t>) use the staggered rollout of COVID-19 emergency measures across U.S. counties to study how metropolitan areas responded to state inaction. The key measurement challenge here was constructing precise timelines of policy adoption at the county level and linking them to state-level action (or inaction). This event-study approach is particularly powerful for studying rapid innovation in response to exogenous shocks.</w:t>
      </w:r>
    </w:p>
    <w:p w14:paraId="433B96C4" w14:textId="56E8B98F" w:rsidR="004A1B4E" w:rsidRPr="004A1B4E" w:rsidRDefault="004A1B4E" w:rsidP="0048490E">
      <w:pPr>
        <w:spacing w:line="240" w:lineRule="auto"/>
        <w:rPr>
          <w:rFonts w:ascii="Times New Roman" w:hAnsi="Times New Roman" w:cs="Times New Roman"/>
        </w:rPr>
      </w:pPr>
      <w:r w:rsidRPr="004A1B4E">
        <w:rPr>
          <w:rFonts w:ascii="Times New Roman" w:hAnsi="Times New Roman" w:cs="Times New Roman"/>
        </w:rPr>
        <w:t xml:space="preserve">Across these strategies, a few principles stand out for researchers looking to study urban social innovation systematically. First, </w:t>
      </w:r>
      <w:r w:rsidRPr="00870E0C">
        <w:rPr>
          <w:rFonts w:ascii="Times New Roman" w:hAnsi="Times New Roman" w:cs="Times New Roman"/>
          <w:highlight w:val="yellow"/>
        </w:rPr>
        <w:t>define the innovation concretely</w:t>
      </w:r>
      <w:r w:rsidRPr="004A1B4E">
        <w:rPr>
          <w:rFonts w:ascii="Times New Roman" w:hAnsi="Times New Roman" w:cs="Times New Roman"/>
        </w:rPr>
        <w:t xml:space="preserve">. Abstract concepts like </w:t>
      </w:r>
      <w:r>
        <w:rPr>
          <w:rFonts w:ascii="Times New Roman" w:hAnsi="Times New Roman" w:cs="Times New Roman"/>
        </w:rPr>
        <w:t>“</w:t>
      </w:r>
      <w:r w:rsidRPr="004A1B4E">
        <w:rPr>
          <w:rFonts w:ascii="Times New Roman" w:hAnsi="Times New Roman" w:cs="Times New Roman"/>
        </w:rPr>
        <w:t>sustainability</w:t>
      </w:r>
      <w:r>
        <w:rPr>
          <w:rFonts w:ascii="Times New Roman" w:hAnsi="Times New Roman" w:cs="Times New Roman"/>
        </w:rPr>
        <w:t>”</w:t>
      </w:r>
      <w:r w:rsidRPr="004A1B4E">
        <w:rPr>
          <w:rFonts w:ascii="Times New Roman" w:hAnsi="Times New Roman" w:cs="Times New Roman"/>
        </w:rPr>
        <w:t xml:space="preserve"> or </w:t>
      </w:r>
      <w:r>
        <w:rPr>
          <w:rFonts w:ascii="Times New Roman" w:hAnsi="Times New Roman" w:cs="Times New Roman"/>
        </w:rPr>
        <w:t>“</w:t>
      </w:r>
      <w:r w:rsidRPr="004A1B4E">
        <w:rPr>
          <w:rFonts w:ascii="Times New Roman" w:hAnsi="Times New Roman" w:cs="Times New Roman"/>
        </w:rPr>
        <w:t>resilience</w:t>
      </w:r>
      <w:r>
        <w:rPr>
          <w:rFonts w:ascii="Times New Roman" w:hAnsi="Times New Roman" w:cs="Times New Roman"/>
        </w:rPr>
        <w:t>”</w:t>
      </w:r>
      <w:r w:rsidRPr="004A1B4E">
        <w:rPr>
          <w:rFonts w:ascii="Times New Roman" w:hAnsi="Times New Roman" w:cs="Times New Roman"/>
        </w:rPr>
        <w:t xml:space="preserve"> need to be decomposed into specific, observable practices or policies that can be tracked across cities. Second, attend to </w:t>
      </w:r>
      <w:r w:rsidRPr="00870E0C">
        <w:rPr>
          <w:rFonts w:ascii="Times New Roman" w:hAnsi="Times New Roman" w:cs="Times New Roman"/>
          <w:highlight w:val="yellow"/>
        </w:rPr>
        <w:t>the organizational field, not just the government</w:t>
      </w:r>
      <w:r w:rsidRPr="004A1B4E">
        <w:rPr>
          <w:rFonts w:ascii="Times New Roman" w:hAnsi="Times New Roman" w:cs="Times New Roman"/>
        </w:rPr>
        <w:t xml:space="preserve">. Much of what constitutes urban social innovation is produced by nonprofits, civic associations, and cross-sector collaborations, so measurement strategies that focus exclusively on municipal policy will miss important variation. Third, take </w:t>
      </w:r>
      <w:r w:rsidRPr="00870E0C">
        <w:rPr>
          <w:rFonts w:ascii="Times New Roman" w:hAnsi="Times New Roman" w:cs="Times New Roman"/>
          <w:highlight w:val="yellow"/>
        </w:rPr>
        <w:t>institutional context</w:t>
      </w:r>
      <w:r w:rsidRPr="004A1B4E">
        <w:rPr>
          <w:rFonts w:ascii="Times New Roman" w:hAnsi="Times New Roman" w:cs="Times New Roman"/>
        </w:rPr>
        <w:t xml:space="preserve"> seriously. The same innovation may have different meanings, mechanisms, and effects depending on the governance configuration of the city in which it appears. </w:t>
      </w:r>
      <w:r w:rsidRPr="00870E0C">
        <w:rPr>
          <w:rFonts w:ascii="Times New Roman" w:hAnsi="Times New Roman" w:cs="Times New Roman"/>
          <w:highlight w:val="yellow"/>
        </w:rPr>
        <w:t>Comparative and configurational methods are therefore essential complements to large-N diffusion studies</w:t>
      </w:r>
      <w:r w:rsidRPr="004A1B4E">
        <w:rPr>
          <w:rFonts w:ascii="Times New Roman" w:hAnsi="Times New Roman" w:cs="Times New Roman"/>
        </w:rPr>
        <w:t>.</w:t>
      </w:r>
    </w:p>
    <w:p w14:paraId="6DEC437A" w14:textId="41E7F850" w:rsidR="004A1B4E" w:rsidRDefault="004A1B4E" w:rsidP="0048490E">
      <w:pPr>
        <w:spacing w:line="240" w:lineRule="auto"/>
        <w:rPr>
          <w:rFonts w:ascii="Times New Roman" w:hAnsi="Times New Roman" w:cs="Times New Roman"/>
        </w:rPr>
      </w:pPr>
      <w:r w:rsidRPr="004A1B4E">
        <w:rPr>
          <w:rFonts w:ascii="Times New Roman" w:hAnsi="Times New Roman" w:cs="Times New Roman"/>
        </w:rPr>
        <w:t>Urban social innovation, understood this way, is an analytically useful concept for studying how cities respond to problems through novel organizational and institutional arrangements, and for understanding why some cities prove more capable of doing so than others.</w:t>
      </w:r>
    </w:p>
    <w:p w14:paraId="6B346A34" w14:textId="77777777" w:rsidR="0077524B" w:rsidRPr="0077524B" w:rsidRDefault="0077524B" w:rsidP="0077524B">
      <w:pPr>
        <w:spacing w:line="240" w:lineRule="auto"/>
        <w:rPr>
          <w:rFonts w:ascii="Times New Roman" w:hAnsi="Times New Roman" w:cs="Times New Roman"/>
          <w:i/>
          <w:iCs/>
        </w:rPr>
      </w:pPr>
      <w:r w:rsidRPr="0077524B">
        <w:rPr>
          <w:rFonts w:ascii="Times New Roman" w:hAnsi="Times New Roman" w:cs="Times New Roman"/>
          <w:i/>
          <w:iCs/>
        </w:rPr>
        <w:t xml:space="preserve">The things we </w:t>
      </w:r>
      <w:proofErr w:type="gramStart"/>
      <w:r w:rsidRPr="0077524B">
        <w:rPr>
          <w:rFonts w:ascii="Times New Roman" w:hAnsi="Times New Roman" w:cs="Times New Roman"/>
          <w:i/>
          <w:iCs/>
        </w:rPr>
        <w:t>have to</w:t>
      </w:r>
      <w:proofErr w:type="gramEnd"/>
      <w:r w:rsidRPr="0077524B">
        <w:rPr>
          <w:rFonts w:ascii="Times New Roman" w:hAnsi="Times New Roman" w:cs="Times New Roman"/>
          <w:i/>
          <w:iCs/>
        </w:rPr>
        <w:t xml:space="preserve"> decide on the urban innovation side are:</w:t>
      </w:r>
    </w:p>
    <w:p w14:paraId="54DB4EF7" w14:textId="77777777" w:rsidR="0077524B" w:rsidRPr="00E84230" w:rsidRDefault="0077524B" w:rsidP="0077524B">
      <w:pPr>
        <w:pStyle w:val="ListParagraph"/>
        <w:numPr>
          <w:ilvl w:val="0"/>
          <w:numId w:val="7"/>
        </w:numPr>
        <w:spacing w:line="240" w:lineRule="auto"/>
        <w:rPr>
          <w:rFonts w:ascii="Times New Roman" w:hAnsi="Times New Roman" w:cs="Times New Roman"/>
        </w:rPr>
      </w:pPr>
      <w:r>
        <w:rPr>
          <w:rFonts w:ascii="Times New Roman" w:hAnsi="Times New Roman" w:cs="Times New Roman"/>
          <w:b/>
          <w:bCs/>
          <w:i/>
          <w:iCs/>
        </w:rPr>
        <w:t>US vs Europe vs world</w:t>
      </w:r>
      <w:r w:rsidRPr="00E84230">
        <w:rPr>
          <w:rFonts w:ascii="Times New Roman" w:hAnsi="Times New Roman" w:cs="Times New Roman"/>
          <w:b/>
          <w:bCs/>
          <w:i/>
          <w:iCs/>
        </w:rPr>
        <w:t>?</w:t>
      </w:r>
      <w:r w:rsidRPr="00E84230">
        <w:rPr>
          <w:rFonts w:ascii="Times New Roman" w:hAnsi="Times New Roman" w:cs="Times New Roman"/>
        </w:rPr>
        <w:t xml:space="preserve"> The U.S. is where data permits the tightest causal designs, but limiting the study to the U.S. constrains generalizability and forecloses comparisons </w:t>
      </w:r>
      <w:r w:rsidRPr="00773F7A">
        <w:rPr>
          <w:rFonts w:ascii="Times New Roman" w:hAnsi="Times New Roman" w:cs="Times New Roman"/>
          <w:highlight w:val="yellow"/>
        </w:rPr>
        <w:t>across institutional contexts that matter (strong mayor vs. council systems, proportional vs. majoritarian local elections, federal vs. unitary states)</w:t>
      </w:r>
      <w:r w:rsidRPr="00E84230">
        <w:rPr>
          <w:rFonts w:ascii="Times New Roman" w:hAnsi="Times New Roman" w:cs="Times New Roman"/>
        </w:rPr>
        <w:t>.</w:t>
      </w:r>
    </w:p>
    <w:p w14:paraId="7C714027" w14:textId="77777777" w:rsidR="0077524B" w:rsidRPr="00E84230" w:rsidRDefault="0077524B" w:rsidP="0077524B">
      <w:pPr>
        <w:pStyle w:val="ListParagraph"/>
        <w:numPr>
          <w:ilvl w:val="0"/>
          <w:numId w:val="7"/>
        </w:numPr>
        <w:spacing w:line="240" w:lineRule="auto"/>
        <w:rPr>
          <w:rFonts w:ascii="Times New Roman" w:hAnsi="Times New Roman" w:cs="Times New Roman"/>
        </w:rPr>
      </w:pPr>
      <w:r w:rsidRPr="00E84230">
        <w:rPr>
          <w:rFonts w:ascii="Times New Roman" w:hAnsi="Times New Roman" w:cs="Times New Roman"/>
          <w:b/>
          <w:bCs/>
          <w:i/>
          <w:iCs/>
        </w:rPr>
        <w:t xml:space="preserve">What counts as the treatment? </w:t>
      </w:r>
      <w:r w:rsidRPr="00773F7A">
        <w:rPr>
          <w:rFonts w:ascii="Times New Roman" w:hAnsi="Times New Roman" w:cs="Times New Roman"/>
          <w:highlight w:val="yellow"/>
        </w:rPr>
        <w:t>Do we measure innovation as discrete policy adoptions (climate action plans, participatory budgeting, inclusionary zoning., etc. with a clear adoption date suitable for event-study designs), or as a continuous latent characteristic of cities (a Walker-style innovativeness score computed from many adoptions</w:t>
      </w:r>
      <w:r w:rsidRPr="00E84230">
        <w:rPr>
          <w:rFonts w:ascii="Times New Roman" w:hAnsi="Times New Roman" w:cs="Times New Roman"/>
        </w:rPr>
        <w:t xml:space="preserve">)? The first is </w:t>
      </w:r>
      <w:r w:rsidRPr="00E84230">
        <w:rPr>
          <w:rFonts w:ascii="Times New Roman" w:hAnsi="Times New Roman" w:cs="Times New Roman"/>
        </w:rPr>
        <w:lastRenderedPageBreak/>
        <w:t>easier to implement and more credible for causal identification; the second better captures the distributed, cumulative nature of social innovation as you've theorized it.</w:t>
      </w:r>
    </w:p>
    <w:p w14:paraId="1FB723FD" w14:textId="77777777" w:rsidR="0077524B" w:rsidRPr="00E84230" w:rsidRDefault="0077524B" w:rsidP="0077524B">
      <w:pPr>
        <w:pStyle w:val="ListParagraph"/>
        <w:numPr>
          <w:ilvl w:val="0"/>
          <w:numId w:val="7"/>
        </w:numPr>
        <w:spacing w:line="240" w:lineRule="auto"/>
        <w:rPr>
          <w:rFonts w:ascii="Times New Roman" w:hAnsi="Times New Roman" w:cs="Times New Roman"/>
        </w:rPr>
      </w:pPr>
      <w:r>
        <w:rPr>
          <w:rFonts w:ascii="Times New Roman" w:hAnsi="Times New Roman" w:cs="Times New Roman"/>
          <w:b/>
          <w:bCs/>
          <w:i/>
          <w:iCs/>
        </w:rPr>
        <w:t>Public policy, private practice, or both</w:t>
      </w:r>
      <w:r w:rsidRPr="00E84230">
        <w:rPr>
          <w:rFonts w:ascii="Times New Roman" w:hAnsi="Times New Roman" w:cs="Times New Roman"/>
          <w:b/>
          <w:bCs/>
          <w:i/>
          <w:iCs/>
        </w:rPr>
        <w:t>?</w:t>
      </w:r>
      <w:r w:rsidRPr="00E84230">
        <w:rPr>
          <w:rFonts w:ascii="Times New Roman" w:hAnsi="Times New Roman" w:cs="Times New Roman"/>
        </w:rPr>
        <w:t xml:space="preserve"> </w:t>
      </w:r>
      <w:r w:rsidRPr="00D83DF7">
        <w:rPr>
          <w:rFonts w:ascii="Times New Roman" w:hAnsi="Times New Roman" w:cs="Times New Roman"/>
          <w:highlight w:val="yellow"/>
        </w:rPr>
        <w:t>The distributed adoption framework creates an attribution problem. If nonprofit organizations and firms drive innovation rather than mayors, then electoral consequences may be attenuated or redirected.</w:t>
      </w:r>
      <w:r w:rsidRPr="00E84230">
        <w:rPr>
          <w:rFonts w:ascii="Times New Roman" w:hAnsi="Times New Roman" w:cs="Times New Roman"/>
        </w:rPr>
        <w:t xml:space="preserve"> </w:t>
      </w:r>
      <w:r>
        <w:rPr>
          <w:rFonts w:ascii="Times New Roman" w:hAnsi="Times New Roman" w:cs="Times New Roman"/>
        </w:rPr>
        <w:t>Could inform</w:t>
      </w:r>
      <w:r w:rsidRPr="00E84230">
        <w:rPr>
          <w:rFonts w:ascii="Times New Roman" w:hAnsi="Times New Roman" w:cs="Times New Roman"/>
        </w:rPr>
        <w:t xml:space="preserve"> scope condition</w:t>
      </w:r>
      <w:r>
        <w:rPr>
          <w:rFonts w:ascii="Times New Roman" w:hAnsi="Times New Roman" w:cs="Times New Roman"/>
        </w:rPr>
        <w:t>s</w:t>
      </w:r>
      <w:r w:rsidRPr="00E84230">
        <w:rPr>
          <w:rFonts w:ascii="Times New Roman" w:hAnsi="Times New Roman" w:cs="Times New Roman"/>
        </w:rPr>
        <w:t xml:space="preserve"> (study only mayoral-led innovations where traceability is clear) or the central research question (</w:t>
      </w:r>
      <w:r w:rsidRPr="00B71DF3">
        <w:rPr>
          <w:rFonts w:ascii="Times New Roman" w:hAnsi="Times New Roman" w:cs="Times New Roman"/>
          <w:highlight w:val="yellow"/>
        </w:rPr>
        <w:t>when does distributed innovation generate political consequences, and for whom?</w:t>
      </w:r>
      <w:r w:rsidRPr="00E84230">
        <w:rPr>
          <w:rFonts w:ascii="Times New Roman" w:hAnsi="Times New Roman" w:cs="Times New Roman"/>
        </w:rPr>
        <w:t>).</w:t>
      </w:r>
    </w:p>
    <w:p w14:paraId="22106D0E" w14:textId="77777777" w:rsidR="0077524B" w:rsidRPr="0077524B" w:rsidRDefault="0077524B" w:rsidP="0048490E">
      <w:pPr>
        <w:spacing w:line="240" w:lineRule="auto"/>
        <w:rPr>
          <w:rFonts w:ascii="Times New Roman" w:hAnsi="Times New Roman" w:cs="Times New Roman"/>
          <w:b/>
          <w:bCs/>
        </w:rPr>
      </w:pPr>
    </w:p>
    <w:p w14:paraId="7912D5E9" w14:textId="6C2CC999" w:rsidR="00694449" w:rsidRPr="0048490E" w:rsidRDefault="00694449" w:rsidP="0048490E">
      <w:pPr>
        <w:spacing w:line="240" w:lineRule="auto"/>
        <w:rPr>
          <w:rFonts w:ascii="Times New Roman" w:hAnsi="Times New Roman" w:cs="Times New Roman"/>
          <w:b/>
          <w:bCs/>
        </w:rPr>
      </w:pPr>
      <w:r w:rsidRPr="0048490E">
        <w:rPr>
          <w:rFonts w:ascii="Times New Roman" w:hAnsi="Times New Roman" w:cs="Times New Roman"/>
          <w:b/>
          <w:bCs/>
        </w:rPr>
        <w:t xml:space="preserve">Data on policy experimentation on the local level that could be used for a staggered </w:t>
      </w:r>
      <w:proofErr w:type="spellStart"/>
      <w:r w:rsidRPr="0048490E">
        <w:rPr>
          <w:rFonts w:ascii="Times New Roman" w:hAnsi="Times New Roman" w:cs="Times New Roman"/>
          <w:b/>
          <w:bCs/>
        </w:rPr>
        <w:t>DiD</w:t>
      </w:r>
      <w:proofErr w:type="spellEnd"/>
      <w:r w:rsidRPr="0048490E">
        <w:rPr>
          <w:rFonts w:ascii="Times New Roman" w:hAnsi="Times New Roman" w:cs="Times New Roman"/>
          <w:b/>
          <w:bCs/>
        </w:rPr>
        <w:t>:</w:t>
      </w:r>
    </w:p>
    <w:p w14:paraId="7CEAC143" w14:textId="0E62A6D8" w:rsidR="00694449" w:rsidRDefault="00694449" w:rsidP="0048490E">
      <w:pPr>
        <w:pStyle w:val="font-claude-response-body"/>
        <w:numPr>
          <w:ilvl w:val="0"/>
          <w:numId w:val="4"/>
        </w:numPr>
      </w:pPr>
      <w:r>
        <w:t xml:space="preserve">The most directly useful body of work is on </w:t>
      </w:r>
      <w:r>
        <w:rPr>
          <w:rStyle w:val="Strong"/>
          <w:rFonts w:eastAsiaTheme="majorEastAsia"/>
        </w:rPr>
        <w:t>climate action plan adoption</w:t>
      </w:r>
      <w:r>
        <w:t xml:space="preserve">. Scholars like </w:t>
      </w:r>
      <w:hyperlink r:id="rId8" w:history="1">
        <w:r w:rsidRPr="00694449">
          <w:rPr>
            <w:rStyle w:val="Hyperlink"/>
          </w:rPr>
          <w:t>Rachel Krause</w:t>
        </w:r>
      </w:hyperlink>
      <w:r>
        <w:t xml:space="preserve">, Kristine Kern, and Harriet Bulkeley have tracked which cities adopted climate action plans and when, often across samples of 100+ cities in Europe and North America. Krause (2011, </w:t>
      </w:r>
      <w:r w:rsidRPr="00694449">
        <w:rPr>
          <w:i/>
          <w:iCs/>
        </w:rPr>
        <w:t xml:space="preserve">Journal of </w:t>
      </w:r>
      <w:r>
        <w:rPr>
          <w:i/>
          <w:iCs/>
        </w:rPr>
        <w:t>Urban</w:t>
      </w:r>
      <w:r w:rsidRPr="00694449">
        <w:rPr>
          <w:i/>
          <w:iCs/>
        </w:rPr>
        <w:t xml:space="preserve"> Affairs</w:t>
      </w:r>
      <w:r>
        <w:t>) examined the adoption and implementation of climate protection plans across U.S. municipalities, documenting variation in timing that could serve as the basis for event-study designs. Kern and Alber (2009) did something similar for European cities, tracking participation in transnational municipal networks like ICLEI, Climate Alliance, and Energie-</w:t>
      </w:r>
      <w:proofErr w:type="spellStart"/>
      <w:r>
        <w:t>Cités</w:t>
      </w:r>
      <w:proofErr w:type="spellEnd"/>
      <w:r>
        <w:t>, with membership dates that function as discrete adoption events.</w:t>
      </w:r>
    </w:p>
    <w:p w14:paraId="40FBEDDB" w14:textId="375AD93D" w:rsidR="00694449" w:rsidRPr="00694449" w:rsidRDefault="00694449" w:rsidP="0048490E">
      <w:pPr>
        <w:pStyle w:val="font-claude-response-body"/>
        <w:numPr>
          <w:ilvl w:val="1"/>
          <w:numId w:val="4"/>
        </w:numPr>
        <w:rPr>
          <w:i/>
          <w:iCs/>
        </w:rPr>
      </w:pPr>
      <w:r w:rsidRPr="00694449">
        <w:rPr>
          <w:i/>
          <w:iCs/>
        </w:rPr>
        <w:t xml:space="preserve">This is a promising avenue if our focus lies on the US. Krause, Feiock and colleagues have assembled detailed data on urban sustainability policies for US cities in a database called the </w:t>
      </w:r>
      <w:r w:rsidRPr="00694449">
        <w:rPr>
          <w:b/>
          <w:bCs/>
          <w:i/>
          <w:iCs/>
        </w:rPr>
        <w:t>Integrated City Sustainability Database</w:t>
      </w:r>
      <w:r w:rsidRPr="00694449">
        <w:rPr>
          <w:i/>
          <w:iCs/>
        </w:rPr>
        <w:t>: https://stars.library.ucf.edu/scopus2010/9595/</w:t>
      </w:r>
    </w:p>
    <w:p w14:paraId="545F4330" w14:textId="12CC4190" w:rsidR="00694449" w:rsidRPr="00694449" w:rsidRDefault="00694449" w:rsidP="0048490E">
      <w:pPr>
        <w:pStyle w:val="font-claude-response-body"/>
        <w:numPr>
          <w:ilvl w:val="1"/>
          <w:numId w:val="4"/>
        </w:numPr>
        <w:rPr>
          <w:i/>
          <w:iCs/>
        </w:rPr>
      </w:pPr>
      <w:r w:rsidRPr="00694449">
        <w:rPr>
          <w:i/>
          <w:iCs/>
        </w:rPr>
        <w:t xml:space="preserve">I also have </w:t>
      </w:r>
      <w:r w:rsidRPr="00694449">
        <w:rPr>
          <w:b/>
          <w:bCs/>
          <w:i/>
          <w:iCs/>
        </w:rPr>
        <w:t>strategy plans</w:t>
      </w:r>
      <w:r w:rsidRPr="00694449">
        <w:rPr>
          <w:i/>
          <w:iCs/>
        </w:rPr>
        <w:t xml:space="preserve"> for the 360 largest cities, though they are not all specifically climate adaptation plans.</w:t>
      </w:r>
    </w:p>
    <w:p w14:paraId="3DD1DBFA" w14:textId="77777777" w:rsidR="00694449" w:rsidRDefault="00694449" w:rsidP="0048490E">
      <w:pPr>
        <w:pStyle w:val="font-claude-response-body"/>
        <w:numPr>
          <w:ilvl w:val="0"/>
          <w:numId w:val="4"/>
        </w:numPr>
      </w:pPr>
      <w:r>
        <w:t>Hughes and Romero-</w:t>
      </w:r>
      <w:proofErr w:type="spellStart"/>
      <w:r>
        <w:t>Lankao</w:t>
      </w:r>
      <w:proofErr w:type="spellEnd"/>
      <w:r>
        <w:t xml:space="preserve"> (2014) compared climate governance across 10 cities, and while this is small-N, their detailed policy timelines could anchor case selection for a larger quantitative design. Similarly, Bulkeley and </w:t>
      </w:r>
      <w:proofErr w:type="spellStart"/>
      <w:r>
        <w:t>Castán</w:t>
      </w:r>
      <w:proofErr w:type="spellEnd"/>
      <w:r>
        <w:t xml:space="preserve"> Broto (2013) built a database of 627 urban climate change experiments across 100 global cities, categorized by type (urban infrastructure, built environment, transport, carbon sequestration). The limitation is that this was cross-sectional and didn't track adoption timing precisely, but the taxonomy is useful.</w:t>
      </w:r>
    </w:p>
    <w:p w14:paraId="36F0DBD7" w14:textId="77777777" w:rsidR="00694449" w:rsidRPr="0048490E" w:rsidRDefault="00694449" w:rsidP="0048490E">
      <w:pPr>
        <w:pStyle w:val="font-claude-response-body"/>
        <w:numPr>
          <w:ilvl w:val="1"/>
          <w:numId w:val="4"/>
        </w:numPr>
        <w:rPr>
          <w:i/>
          <w:iCs/>
        </w:rPr>
      </w:pPr>
      <w:r w:rsidRPr="0048490E">
        <w:rPr>
          <w:i/>
          <w:iCs/>
        </w:rPr>
        <w:t>I know these folks well, but I don’t think that there’s anything useful for a quantitative analysis. Here, the ICMA survey measures are more useful because they have municipal-level information about sustainability practices over multiple survey waves. Selection is an issue (~ 10% response rate).</w:t>
      </w:r>
    </w:p>
    <w:p w14:paraId="080C246D" w14:textId="52BBD352" w:rsidR="00694449" w:rsidRDefault="00694449" w:rsidP="0048490E">
      <w:pPr>
        <w:pStyle w:val="font-claude-response-body"/>
        <w:numPr>
          <w:ilvl w:val="0"/>
          <w:numId w:val="4"/>
        </w:numPr>
      </w:pPr>
      <w:r>
        <w:t xml:space="preserve">The </w:t>
      </w:r>
      <w:r>
        <w:rPr>
          <w:rStyle w:val="Strong"/>
          <w:rFonts w:eastAsiaTheme="majorEastAsia"/>
        </w:rPr>
        <w:t>100 Resilient Cities</w:t>
      </w:r>
      <w:r>
        <w:t xml:space="preserve"> program (2013–2019), funded by the Rockefeller Foundation, produced a natural experiment of sorts: cities were selected in two cohorts, with the selection process introducing some quasi-random variation. Participating cities adopted chief resilience officer positions and resilience strategies on staggered timelines, all publicly documented. Researcher access to internal data has been uneven, but the public timelines are sufficient for event-study work.</w:t>
      </w:r>
    </w:p>
    <w:p w14:paraId="65730177" w14:textId="659C2E4E" w:rsidR="00694449" w:rsidRPr="0048490E" w:rsidRDefault="00694449" w:rsidP="0048490E">
      <w:pPr>
        <w:pStyle w:val="font-claude-response-body"/>
        <w:numPr>
          <w:ilvl w:val="1"/>
          <w:numId w:val="4"/>
        </w:numPr>
        <w:rPr>
          <w:i/>
          <w:iCs/>
        </w:rPr>
      </w:pPr>
      <w:r w:rsidRPr="0048490E">
        <w:rPr>
          <w:i/>
          <w:iCs/>
        </w:rPr>
        <w:t xml:space="preserve">I tried to get data on cities that were </w:t>
      </w:r>
      <w:r w:rsidRPr="0048490E">
        <w:t>not</w:t>
      </w:r>
      <w:r w:rsidRPr="0048490E">
        <w:rPr>
          <w:i/>
          <w:iCs/>
        </w:rPr>
        <w:t xml:space="preserve"> selected into 100RC, but they never gave it to me. They were at a difficult stage because they were looking for funding and </w:t>
      </w:r>
      <w:r w:rsidRPr="0048490E">
        <w:rPr>
          <w:i/>
          <w:iCs/>
        </w:rPr>
        <w:lastRenderedPageBreak/>
        <w:t>were worried about impact evaluation that shows that their program is of limited consequence. We could try again.</w:t>
      </w:r>
    </w:p>
    <w:p w14:paraId="43ADBB84" w14:textId="0223D525" w:rsidR="00694449" w:rsidRDefault="00694449" w:rsidP="0048490E">
      <w:pPr>
        <w:pStyle w:val="font-claude-response-body"/>
        <w:numPr>
          <w:ilvl w:val="0"/>
          <w:numId w:val="4"/>
        </w:numPr>
      </w:pPr>
      <w:r>
        <w:t xml:space="preserve">For specific policy instruments, there are richer timelines. </w:t>
      </w:r>
      <w:r>
        <w:rPr>
          <w:rStyle w:val="Strong"/>
          <w:rFonts w:eastAsiaTheme="majorEastAsia"/>
        </w:rPr>
        <w:t>Green building codes</w:t>
      </w:r>
      <w:r>
        <w:t xml:space="preserve"> have been tracked by several scholars. </w:t>
      </w:r>
      <w:proofErr w:type="spellStart"/>
      <w:r>
        <w:t>Cidell</w:t>
      </w:r>
      <w:proofErr w:type="spellEnd"/>
      <w:r>
        <w:t xml:space="preserve"> (2009) documented LEED adoption across U.S. cities with dates. The U.S. Green Building Council's own data tracks which jurisdictions adopted green building mandates and when. Similarly, the adoption of </w:t>
      </w:r>
      <w:r>
        <w:rPr>
          <w:rStyle w:val="Strong"/>
          <w:rFonts w:eastAsiaTheme="majorEastAsia"/>
        </w:rPr>
        <w:t>complete streets policies</w:t>
      </w:r>
      <w:r>
        <w:t xml:space="preserve"> has been tracked by the National Complete Streets Coalition with dates and jurisdictions going back to the early 2000s, covering hundreds of cities. </w:t>
      </w:r>
      <w:r>
        <w:rPr>
          <w:rStyle w:val="Strong"/>
          <w:rFonts w:eastAsiaTheme="majorEastAsia"/>
        </w:rPr>
        <w:t>Bike-share programs</w:t>
      </w:r>
      <w:r>
        <w:t xml:space="preserve"> have well-documented launch dates across cities globally, thanks partly to the ITDP and PBSC databases.</w:t>
      </w:r>
    </w:p>
    <w:p w14:paraId="348CFEDB" w14:textId="160405BF" w:rsidR="00694449" w:rsidRPr="0048490E" w:rsidRDefault="00694449" w:rsidP="0048490E">
      <w:pPr>
        <w:pStyle w:val="font-claude-response-body"/>
        <w:numPr>
          <w:ilvl w:val="1"/>
          <w:numId w:val="4"/>
        </w:numPr>
        <w:rPr>
          <w:i/>
          <w:iCs/>
        </w:rPr>
      </w:pPr>
      <w:r w:rsidRPr="0048490E">
        <w:rPr>
          <w:i/>
          <w:iCs/>
        </w:rPr>
        <w:t xml:space="preserve">Public policies are available for all US cities (see </w:t>
      </w:r>
      <w:r w:rsidR="0048490E" w:rsidRPr="0048490E">
        <w:rPr>
          <w:i/>
          <w:iCs/>
        </w:rPr>
        <w:t>Brandtner</w:t>
      </w:r>
      <w:r w:rsidRPr="0048490E">
        <w:rPr>
          <w:i/>
          <w:iCs/>
        </w:rPr>
        <w:t xml:space="preserve"> 2022, AJS).</w:t>
      </w:r>
      <w:r w:rsidR="0048490E">
        <w:rPr>
          <w:i/>
          <w:iCs/>
        </w:rPr>
        <w:t xml:space="preserve"> I have the data, but don’t think they are general enough (a little wonky). We could combine with other measures though and create a composite index. Benefit is that they’re timed precisely.</w:t>
      </w:r>
    </w:p>
    <w:p w14:paraId="3A17A545" w14:textId="69AE52E9" w:rsidR="00694449" w:rsidRDefault="00694449" w:rsidP="0048490E">
      <w:pPr>
        <w:pStyle w:val="font-claude-response-body"/>
        <w:numPr>
          <w:ilvl w:val="0"/>
          <w:numId w:val="4"/>
        </w:numPr>
      </w:pPr>
      <w:r>
        <w:t>For renewable energy specifically, there's stronger quantitative infrastructure. Stokes and Warshaw (2017</w:t>
      </w:r>
      <w:r w:rsidR="0048490E">
        <w:t xml:space="preserve">, </w:t>
      </w:r>
      <w:r w:rsidR="0048490E" w:rsidRPr="0048490E">
        <w:rPr>
          <w:i/>
          <w:iCs/>
        </w:rPr>
        <w:t>Nature Cities</w:t>
      </w:r>
      <w:r>
        <w:t xml:space="preserve">) assembled data on state-level renewable portfolio standards with exact adoption dates. At the city level, </w:t>
      </w:r>
      <w:r>
        <w:rPr>
          <w:rStyle w:val="Strong"/>
          <w:rFonts w:eastAsiaTheme="majorEastAsia"/>
        </w:rPr>
        <w:t>community choice aggregation</w:t>
      </w:r>
      <w:r>
        <w:t xml:space="preserve"> (CCA) adoption has been tracked across California, Illinois, Ohio, and other enabling states, with precise formation dates. The Sierra Club's "Ready for 100" campaign tracked which cities committed to 100% clean energy goals and when. These commitments vary in substance, but as treatment events they have clean timing.</w:t>
      </w:r>
    </w:p>
    <w:p w14:paraId="382C2A73" w14:textId="77777777" w:rsidR="00694449" w:rsidRDefault="00694449" w:rsidP="0048490E">
      <w:pPr>
        <w:pStyle w:val="font-claude-response-body"/>
        <w:numPr>
          <w:ilvl w:val="0"/>
          <w:numId w:val="4"/>
        </w:numPr>
      </w:pPr>
      <w:r>
        <w:rPr>
          <w:rStyle w:val="Strong"/>
          <w:rFonts w:eastAsiaTheme="majorEastAsia"/>
        </w:rPr>
        <w:t>Plastic bag bans and fees</w:t>
      </w:r>
      <w:r>
        <w:t xml:space="preserve"> represent one of the cleanest cases for staggered </w:t>
      </w:r>
      <w:proofErr w:type="spellStart"/>
      <w:r>
        <w:t>DiD</w:t>
      </w:r>
      <w:proofErr w:type="spellEnd"/>
      <w:r>
        <w:t xml:space="preserve"> at the city level. Taylor (2019) and others have compiled adoption dates across hundreds of U.S. and international cities. The policy is discrete, visible, and attributable to specific governments. Similarly, </w:t>
      </w:r>
      <w:r>
        <w:rPr>
          <w:rStyle w:val="Strong"/>
          <w:rFonts w:eastAsiaTheme="majorEastAsia"/>
        </w:rPr>
        <w:t>sugary drink taxes</w:t>
      </w:r>
      <w:r>
        <w:t xml:space="preserve"> have well-documented adoption dates across a small but growing number of cities (Berkeley 2014, Philadelphia 2017, Seattle 2018, etc.), and several public health studies have already used </w:t>
      </w:r>
      <w:proofErr w:type="spellStart"/>
      <w:r>
        <w:t>DiD</w:t>
      </w:r>
      <w:proofErr w:type="spellEnd"/>
      <w:r>
        <w:t xml:space="preserve"> designs to evaluate their health effects — the electoral effects could be studied with the same timing data.</w:t>
      </w:r>
    </w:p>
    <w:p w14:paraId="72A2BB89" w14:textId="7B85DB93" w:rsidR="0048490E" w:rsidRPr="00075BD6" w:rsidRDefault="0048490E" w:rsidP="0048490E">
      <w:pPr>
        <w:pStyle w:val="font-claude-response-body"/>
        <w:numPr>
          <w:ilvl w:val="1"/>
          <w:numId w:val="4"/>
        </w:numPr>
        <w:rPr>
          <w:highlight w:val="yellow"/>
        </w:rPr>
      </w:pPr>
      <w:r w:rsidRPr="00075BD6">
        <w:rPr>
          <w:highlight w:val="yellow"/>
        </w:rPr>
        <w:t>Interesting to have examples of bans, not just affirmative laws.</w:t>
      </w:r>
    </w:p>
    <w:p w14:paraId="11654437" w14:textId="77777777" w:rsidR="00694449" w:rsidRDefault="00694449" w:rsidP="0048490E">
      <w:pPr>
        <w:pStyle w:val="font-claude-response-body"/>
        <w:numPr>
          <w:ilvl w:val="0"/>
          <w:numId w:val="4"/>
        </w:numPr>
      </w:pPr>
      <w:r>
        <w:t xml:space="preserve">For </w:t>
      </w:r>
      <w:r>
        <w:rPr>
          <w:rStyle w:val="Strong"/>
          <w:rFonts w:eastAsiaTheme="majorEastAsia"/>
        </w:rPr>
        <w:t>participatory budgeting</w:t>
      </w:r>
      <w:r>
        <w:t xml:space="preserve">, the work of Wampler, Touchton, and others has produced detailed cross-national comparisons with adoption timelines, particularly in Brazil and more recently across European cities. </w:t>
      </w:r>
      <w:proofErr w:type="spellStart"/>
      <w:r>
        <w:t>Sintomer</w:t>
      </w:r>
      <w:proofErr w:type="spellEnd"/>
      <w:r>
        <w:t xml:space="preserve">, Herzberg, and </w:t>
      </w:r>
      <w:proofErr w:type="spellStart"/>
      <w:r>
        <w:t>Röcke</w:t>
      </w:r>
      <w:proofErr w:type="spellEnd"/>
      <w:r>
        <w:t xml:space="preserve"> (2016) compiled a global comparative analysis with enough temporal detail to support event-study work, though coding consistency varies.</w:t>
      </w:r>
    </w:p>
    <w:p w14:paraId="74F69B90" w14:textId="77777777" w:rsidR="00694449" w:rsidRDefault="00694449" w:rsidP="0048490E">
      <w:pPr>
        <w:pStyle w:val="font-claude-response-body"/>
        <w:numPr>
          <w:ilvl w:val="0"/>
          <w:numId w:val="4"/>
        </w:numPr>
      </w:pPr>
      <w:r>
        <w:t xml:space="preserve">The broader point is that </w:t>
      </w:r>
      <w:r>
        <w:rPr>
          <w:rStyle w:val="Strong"/>
          <w:rFonts w:eastAsiaTheme="majorEastAsia"/>
        </w:rPr>
        <w:t xml:space="preserve">the raw material for staggered </w:t>
      </w:r>
      <w:proofErr w:type="spellStart"/>
      <w:r>
        <w:rPr>
          <w:rStyle w:val="Strong"/>
          <w:rFonts w:eastAsiaTheme="majorEastAsia"/>
        </w:rPr>
        <w:t>DiD</w:t>
      </w:r>
      <w:proofErr w:type="spellEnd"/>
      <w:r>
        <w:rPr>
          <w:rStyle w:val="Strong"/>
          <w:rFonts w:eastAsiaTheme="majorEastAsia"/>
        </w:rPr>
        <w:t xml:space="preserve"> designs exists, but it is scattered across policy domains, research teams, and publication appendices rather than consolidated into a single database.</w:t>
      </w:r>
      <w:r>
        <w:t xml:space="preserve"> </w:t>
      </w:r>
      <w:r w:rsidRPr="00D0492F">
        <w:rPr>
          <w:highlight w:val="yellow"/>
        </w:rPr>
        <w:t xml:space="preserve">The most productive near-term strategy for your project might be to select three to five specific, well-documented innovations — say, climate action plan adoption, participatory budgeting, complete streets policies, green building mandates, and plastic bag bans — where adoption timing is already well </w:t>
      </w:r>
      <w:proofErr w:type="gramStart"/>
      <w:r w:rsidRPr="00D0492F">
        <w:rPr>
          <w:highlight w:val="yellow"/>
        </w:rPr>
        <w:t>catalogued, and</w:t>
      </w:r>
      <w:proofErr w:type="gramEnd"/>
      <w:r w:rsidRPr="00D0492F">
        <w:rPr>
          <w:highlight w:val="yellow"/>
        </w:rPr>
        <w:t xml:space="preserve"> construct a focused panel linking these to electoral data. This is much less ambitious than the full URBINSOC discovery engine approach but would produce publishable results quickly and establish the empirical framework that the larger project could later populate with additional innovations</w:t>
      </w:r>
      <w:r>
        <w:t>.</w:t>
      </w:r>
    </w:p>
    <w:p w14:paraId="33BADC3F" w14:textId="5D09F881" w:rsidR="00694449" w:rsidRDefault="00694449" w:rsidP="0048490E">
      <w:pPr>
        <w:pStyle w:val="font-claude-response-body"/>
        <w:numPr>
          <w:ilvl w:val="0"/>
          <w:numId w:val="4"/>
        </w:numPr>
      </w:pPr>
      <w:r>
        <w:t xml:space="preserve">The qualitative comparative work is valuable here not as direct data but as a guide for </w:t>
      </w:r>
      <w:r>
        <w:rPr>
          <w:rStyle w:val="Strong"/>
          <w:rFonts w:eastAsiaTheme="majorEastAsia"/>
        </w:rPr>
        <w:t>case selection and mechanism identification</w:t>
      </w:r>
      <w:r>
        <w:t xml:space="preserve">. Gonzalez and Brandtner (2024) already </w:t>
      </w:r>
      <w:r>
        <w:lastRenderedPageBreak/>
        <w:t xml:space="preserve">demonstrated that </w:t>
      </w:r>
      <w:r w:rsidRPr="00D0492F">
        <w:rPr>
          <w:highlight w:val="yellow"/>
        </w:rPr>
        <w:t xml:space="preserve">cities pursue sustainability through institutionally distinct pathways — pragmatic versus progressive. A staggered </w:t>
      </w:r>
      <w:proofErr w:type="spellStart"/>
      <w:r w:rsidRPr="00D0492F">
        <w:rPr>
          <w:highlight w:val="yellow"/>
        </w:rPr>
        <w:t>DiD</w:t>
      </w:r>
      <w:proofErr w:type="spellEnd"/>
      <w:r w:rsidRPr="00D0492F">
        <w:rPr>
          <w:highlight w:val="yellow"/>
        </w:rPr>
        <w:t xml:space="preserve"> that distinguishes between these pathways would test whether the electoral consequences differ depending on how innovation is framed and implemented, not just whether it happens</w:t>
      </w:r>
      <w:r>
        <w:t>. That's a more interesting question than a simple treatment effect, and the qualitative literature provides the theoretical grounding to motivate it</w:t>
      </w:r>
      <w:r w:rsidR="0048490E">
        <w:t>.</w:t>
      </w:r>
    </w:p>
    <w:p w14:paraId="30CB7435" w14:textId="260EB177" w:rsidR="0048490E" w:rsidRDefault="0048490E" w:rsidP="0048490E">
      <w:pPr>
        <w:pStyle w:val="font-claude-response-body"/>
        <w:numPr>
          <w:ilvl w:val="1"/>
          <w:numId w:val="4"/>
        </w:numPr>
      </w:pPr>
      <w:r>
        <w:t xml:space="preserve">In that paper, we drew on Kent Portney’s seminal ranking of urban sustainability initiatives. </w:t>
      </w:r>
      <w:proofErr w:type="gramStart"/>
      <w:r>
        <w:t>Sadly</w:t>
      </w:r>
      <w:proofErr w:type="gramEnd"/>
      <w:r>
        <w:t xml:space="preserve"> he passed away and there hasn’t been an update to his work.</w:t>
      </w:r>
    </w:p>
    <w:p w14:paraId="44E07C40" w14:textId="77777777" w:rsidR="0048490E" w:rsidRPr="00B248B2" w:rsidRDefault="0048490E" w:rsidP="0048490E">
      <w:pPr>
        <w:pStyle w:val="font-claude-response-body"/>
        <w:rPr>
          <w:b/>
          <w:bCs/>
        </w:rPr>
      </w:pPr>
      <w:r>
        <w:rPr>
          <w:b/>
          <w:bCs/>
        </w:rPr>
        <w:t>Other potentially relevant datasets</w:t>
      </w:r>
      <w:r w:rsidRPr="00B248B2">
        <w:rPr>
          <w:b/>
          <w:bCs/>
        </w:rPr>
        <w:t>:</w:t>
      </w:r>
    </w:p>
    <w:p w14:paraId="730B89C0" w14:textId="77777777" w:rsidR="0048490E" w:rsidRDefault="0048490E" w:rsidP="0048490E">
      <w:pPr>
        <w:pStyle w:val="font-claude-response-body"/>
        <w:numPr>
          <w:ilvl w:val="0"/>
          <w:numId w:val="1"/>
        </w:numPr>
      </w:pPr>
      <w:r>
        <w:t xml:space="preserve">For U.S. cities specifically, the most comprehensive resource is probably the </w:t>
      </w:r>
      <w:r w:rsidRPr="004E0E34">
        <w:rPr>
          <w:b/>
          <w:bCs/>
        </w:rPr>
        <w:t>ICMA (International City/County Management Association) survey data</w:t>
      </w:r>
      <w:r>
        <w:t>, which has periodically surveyed municipal governments on their adoption of various management practices, service delivery arrangements, and policy innovations since the 1980s. The surveys cover thousands of municipalities and include questions on sustainability practices, civic engagement mechanisms, and intergovernmental arrangements.</w:t>
      </w:r>
    </w:p>
    <w:p w14:paraId="1CB0772C" w14:textId="77777777" w:rsidR="0048490E" w:rsidRPr="0048490E" w:rsidRDefault="0048490E" w:rsidP="0048490E">
      <w:pPr>
        <w:pStyle w:val="font-claude-response-body"/>
        <w:numPr>
          <w:ilvl w:val="1"/>
          <w:numId w:val="1"/>
        </w:numPr>
        <w:rPr>
          <w:i/>
          <w:iCs/>
        </w:rPr>
      </w:pPr>
      <w:r w:rsidRPr="0048490E">
        <w:rPr>
          <w:i/>
          <w:iCs/>
        </w:rPr>
        <w:t xml:space="preserve">I analyzed the 2010 data in my paper with Suárez 2021. See </w:t>
      </w:r>
      <w:r>
        <w:rPr>
          <w:i/>
          <w:iCs/>
        </w:rPr>
        <w:t>above</w:t>
      </w:r>
      <w:r w:rsidRPr="0048490E">
        <w:rPr>
          <w:i/>
          <w:iCs/>
        </w:rPr>
        <w:t>.</w:t>
      </w:r>
    </w:p>
    <w:p w14:paraId="38D8A688" w14:textId="77777777" w:rsidR="0048490E" w:rsidRDefault="0048490E" w:rsidP="0048490E">
      <w:pPr>
        <w:pStyle w:val="font-claude-response-body"/>
        <w:numPr>
          <w:ilvl w:val="0"/>
          <w:numId w:val="1"/>
        </w:numPr>
      </w:pPr>
      <w:r>
        <w:t xml:space="preserve">The Bloomberg </w:t>
      </w:r>
      <w:r w:rsidRPr="004E0E34">
        <w:rPr>
          <w:b/>
          <w:bCs/>
        </w:rPr>
        <w:t>American Cities Climate Challenge and the CDP</w:t>
      </w:r>
      <w:r>
        <w:t xml:space="preserve"> (formerly Carbon Disclosure Project) cities database track climate-related policy commitments and actions across hundreds of global cities. These are particularly useful for the sustainability domain of your classification scheme and have the advantage of covering cities internationally. Similarly, </w:t>
      </w:r>
      <w:r w:rsidRPr="0065046A">
        <w:rPr>
          <w:highlight w:val="yellow"/>
        </w:rPr>
        <w:t>the Global Covenant of Mayors for Climate and Energy</w:t>
      </w:r>
      <w:r>
        <w:t xml:space="preserve"> </w:t>
      </w:r>
      <w:proofErr w:type="gramStart"/>
      <w:r>
        <w:t>maintains</w:t>
      </w:r>
      <w:proofErr w:type="gramEnd"/>
      <w:r>
        <w:t xml:space="preserve"> a database of signatory cities and their climate action plans, which provides a rough measure of commitment to sustainability innovation across a large sample.</w:t>
      </w:r>
    </w:p>
    <w:p w14:paraId="6A79772F" w14:textId="77777777" w:rsidR="0048490E" w:rsidRDefault="0048490E" w:rsidP="0048490E">
      <w:pPr>
        <w:pStyle w:val="font-claude-response-body"/>
        <w:numPr>
          <w:ilvl w:val="0"/>
          <w:numId w:val="1"/>
        </w:numPr>
      </w:pPr>
      <w:r>
        <w:t xml:space="preserve">At the international level, the </w:t>
      </w:r>
      <w:r w:rsidRPr="004E0E34">
        <w:rPr>
          <w:b/>
          <w:bCs/>
        </w:rPr>
        <w:t>OECD's Observatory of Public Sector Innovation (OPSI)</w:t>
      </w:r>
      <w:r>
        <w:t xml:space="preserve"> catalogs government innovations across member countries, increasingly at the subnational level. The European Social Innovation Database (ESID) provides classified social innovation data that could be used directly as a component rather than only as training data for the discovery engine. UN-Habitat's urban data platforms track various municipal programs and policies across global cities.</w:t>
      </w:r>
    </w:p>
    <w:p w14:paraId="50DE46BA" w14:textId="77777777" w:rsidR="0048490E" w:rsidRDefault="0048490E" w:rsidP="0048490E">
      <w:pPr>
        <w:pStyle w:val="font-claude-response-body"/>
        <w:numPr>
          <w:ilvl w:val="0"/>
          <w:numId w:val="1"/>
        </w:numPr>
      </w:pPr>
      <w:r>
        <w:t>The National League of Cities has conducted periodic surveys on municipal policy priorities and program adoption, covering topics from economic development to housing to public safety. These are less granular than the ICMA data but useful for tracking which policy domains cities are actively innovating in.</w:t>
      </w:r>
    </w:p>
    <w:p w14:paraId="7A4C22B0" w14:textId="77777777" w:rsidR="0048490E" w:rsidRDefault="0048490E" w:rsidP="0048490E">
      <w:pPr>
        <w:pStyle w:val="font-claude-response-body"/>
        <w:numPr>
          <w:ilvl w:val="0"/>
          <w:numId w:val="1"/>
        </w:numPr>
      </w:pPr>
      <w:r>
        <w:t>For participatory governance innovations specifically, the Participatory Budgeting Project maintains records of which U.S. and Canadian cities have adopted participatory budgeting, with implementation dates and design features. Internationally, the OIDP (International Observatory on Participatory Democracy) tracks participatory governance practices across hundreds of cities worldwide. These map directly onto your democracy and civic engagement domain.</w:t>
      </w:r>
    </w:p>
    <w:p w14:paraId="55DBA0F7" w14:textId="77777777" w:rsidR="0048490E" w:rsidRDefault="0048490E" w:rsidP="0048490E">
      <w:pPr>
        <w:pStyle w:val="font-claude-response-body"/>
        <w:numPr>
          <w:ilvl w:val="0"/>
          <w:numId w:val="1"/>
        </w:numPr>
      </w:pPr>
      <w:r>
        <w:t>The Brookings Institution's Metro Monitor and similar metro-level economic tracking projects provide contextual data rather than innovation measures per se, but they can be combined with policy adoption data to assess whether innovation correlates with metropolitan performance outcomes.</w:t>
      </w:r>
    </w:p>
    <w:p w14:paraId="65BAF447" w14:textId="77777777" w:rsidR="0048490E" w:rsidRDefault="0048490E" w:rsidP="0048490E">
      <w:pPr>
        <w:pStyle w:val="font-claude-response-body"/>
        <w:numPr>
          <w:ilvl w:val="0"/>
          <w:numId w:val="1"/>
        </w:numPr>
      </w:pPr>
      <w:r>
        <w:lastRenderedPageBreak/>
        <w:t>For housing and community development, HUD's Consolidated Plans and the National Housing Preservation Database track various local housing programs and policies. The Lincoln Institute of Land Policy maintains data on community land trusts and inclusionary zoning adoption. The Local Housing Solutions database catalogs specific housing policy tools and which jurisdictions that have adopted them.</w:t>
      </w:r>
    </w:p>
    <w:p w14:paraId="503A2BBF" w14:textId="77777777" w:rsidR="0048490E" w:rsidRDefault="0048490E" w:rsidP="0048490E">
      <w:pPr>
        <w:pStyle w:val="font-claude-response-body"/>
        <w:numPr>
          <w:ilvl w:val="0"/>
          <w:numId w:val="1"/>
        </w:numPr>
      </w:pPr>
      <w:r>
        <w:t xml:space="preserve">The </w:t>
      </w:r>
      <w:proofErr w:type="spellStart"/>
      <w:r>
        <w:t>LocalView</w:t>
      </w:r>
      <w:proofErr w:type="spellEnd"/>
      <w:r>
        <w:t xml:space="preserve"> database, which I’ve worked with before, is distinctive because it captures how local governments discuss issues in public meetings across thousands of jurisdictions. While it doesn't directly measure policy adoption, computational analysis of meeting transcripts can identify when municipalities begin deliberating on specific innovations, which could serve as a leading indicator of adoption and speaks to the timing dimension of your innovativeness index.</w:t>
      </w:r>
    </w:p>
    <w:p w14:paraId="62AD2410" w14:textId="77777777" w:rsidR="0048490E" w:rsidRDefault="0048490E" w:rsidP="0048490E">
      <w:pPr>
        <w:pStyle w:val="font-claude-response-body"/>
        <w:numPr>
          <w:ilvl w:val="0"/>
          <w:numId w:val="1"/>
        </w:numPr>
      </w:pPr>
      <w:r>
        <w:t>For social enterprise and cooperative economy, the Democracy at Work Institute tracks worker cooperative formations by city. The Social Enterprise Alliance and various national social enterprise registries (such as France's ESS registry or the UK's Social Enterprise Mark) provide data on the density of social enterprises, which maps onto your intensity measure.</w:t>
      </w:r>
    </w:p>
    <w:p w14:paraId="274D664F" w14:textId="77777777" w:rsidR="0048490E" w:rsidRDefault="0048490E" w:rsidP="0048490E">
      <w:pPr>
        <w:pStyle w:val="font-claude-response-body"/>
        <w:numPr>
          <w:ilvl w:val="0"/>
          <w:numId w:val="1"/>
        </w:numPr>
      </w:pPr>
      <w:r>
        <w:t xml:space="preserve">The American Nonprofit File (derived from IRS data) and its international equivalents provide organizational density measures that are not innovation measures themselves but serve as proxies for the civic capacity that your framework identifies as a key predictor of innovativeness. GuideStar and Charity Navigator data can be used to identify specific types of mission-driven organizations whose presence indicates </w:t>
      </w:r>
      <w:proofErr w:type="gramStart"/>
      <w:r>
        <w:t>particular kinds</w:t>
      </w:r>
      <w:proofErr w:type="gramEnd"/>
      <w:r>
        <w:t xml:space="preserve"> of social innovation activity.</w:t>
      </w:r>
    </w:p>
    <w:p w14:paraId="5F5ABF23" w14:textId="77777777" w:rsidR="0048490E" w:rsidRDefault="0048490E" w:rsidP="0048490E">
      <w:pPr>
        <w:pStyle w:val="font-claude-response-body"/>
        <w:numPr>
          <w:ilvl w:val="0"/>
          <w:numId w:val="1"/>
        </w:numPr>
      </w:pPr>
      <w:r>
        <w:t>The Ash Center at Harvard maintains a Government Innovators Network with a database of government innovation awards, including many city-level entries. While awards data have obvious selection biases, they provide a useful signal of which cities are recognized as innovative by expert communities, which connects to your influence dimension.</w:t>
      </w:r>
    </w:p>
    <w:p w14:paraId="376384C5" w14:textId="77777777" w:rsidR="0048490E" w:rsidRDefault="0048490E" w:rsidP="0048490E">
      <w:pPr>
        <w:pStyle w:val="font-claude-response-body"/>
        <w:numPr>
          <w:ilvl w:val="0"/>
          <w:numId w:val="1"/>
        </w:numPr>
      </w:pPr>
      <w:r>
        <w:t>Finally, for policy diffusion tracking specifically, the State Innovation Exchange and the National Conference of State Legislatures track policy adoption at the state level, and some of their tracked policies (like minimum wage ordinances, paid sick leave, or plastic bag bans) originate at the city level and diffuse upward. Tracking these "bottom-up" policy innovations would capture a distinctive form of urban social innovativeness where cities lead states rather than follow them.</w:t>
      </w:r>
    </w:p>
    <w:p w14:paraId="01CA0FEC" w14:textId="1EC18435" w:rsidR="0048490E" w:rsidRPr="00B248B2" w:rsidRDefault="0048490E" w:rsidP="0048490E">
      <w:pPr>
        <w:spacing w:line="240" w:lineRule="auto"/>
        <w:rPr>
          <w:rFonts w:ascii="Times New Roman" w:hAnsi="Times New Roman" w:cs="Times New Roman"/>
          <w:b/>
          <w:bCs/>
        </w:rPr>
      </w:pPr>
      <w:r w:rsidRPr="00B248B2">
        <w:rPr>
          <w:rFonts w:ascii="Times New Roman" w:hAnsi="Times New Roman" w:cs="Times New Roman"/>
          <w:b/>
          <w:bCs/>
        </w:rPr>
        <w:t>Relevant work in political science</w:t>
      </w:r>
      <w:r w:rsidR="00916E9A">
        <w:rPr>
          <w:rStyle w:val="FootnoteReference"/>
          <w:rFonts w:ascii="Times New Roman" w:hAnsi="Times New Roman" w:cs="Times New Roman"/>
          <w:b/>
          <w:bCs/>
        </w:rPr>
        <w:footnoteReference w:id="2"/>
      </w:r>
    </w:p>
    <w:p w14:paraId="3FD17141" w14:textId="77777777" w:rsidR="0048490E" w:rsidRDefault="0048490E" w:rsidP="0048490E">
      <w:pPr>
        <w:pStyle w:val="font-claude-response-body"/>
        <w:numPr>
          <w:ilvl w:val="0"/>
          <w:numId w:val="2"/>
        </w:numPr>
      </w:pPr>
      <w:r>
        <w:t xml:space="preserve">The most directly relevant work is on </w:t>
      </w:r>
      <w:r w:rsidRPr="00696994">
        <w:rPr>
          <w:rStyle w:val="Strong"/>
          <w:rFonts w:eastAsiaTheme="majorEastAsia"/>
          <w:highlight w:val="yellow"/>
        </w:rPr>
        <w:t>policy innovation and diffusion</w:t>
      </w:r>
      <w:r>
        <w:t xml:space="preserve"> in American politics. Craig Volden and colleagues have done extensive work on state-level policy innovation and diffusion, including their SPID database, and have examined how legislators who successfully champion innovative policies build reputations and advance their careers. Volden, Ting, and Carpenter (2008) in the </w:t>
      </w:r>
      <w:r w:rsidRPr="00CF3B9B">
        <w:rPr>
          <w:i/>
          <w:iCs/>
        </w:rPr>
        <w:t>American Political Science Review</w:t>
      </w:r>
      <w:r>
        <w:t xml:space="preserve"> model how policy experimentation relates to political credit-claiming. </w:t>
      </w:r>
      <w:r w:rsidRPr="00696994">
        <w:rPr>
          <w:highlight w:val="yellow"/>
        </w:rPr>
        <w:t>The question of whether being an innovator pays off politically is central to this stream.</w:t>
      </w:r>
    </w:p>
    <w:p w14:paraId="60F29E02" w14:textId="77777777" w:rsidR="0048490E" w:rsidRDefault="0048490E" w:rsidP="0048490E">
      <w:pPr>
        <w:pStyle w:val="font-claude-response-body"/>
        <w:numPr>
          <w:ilvl w:val="0"/>
          <w:numId w:val="2"/>
        </w:numPr>
      </w:pPr>
      <w:r>
        <w:t xml:space="preserve">Daniel Butler's work on </w:t>
      </w:r>
      <w:r w:rsidRPr="00D95BDE">
        <w:rPr>
          <w:highlight w:val="yellow"/>
        </w:rPr>
        <w:t>representation and responsiveness</w:t>
      </w:r>
      <w:r>
        <w:t xml:space="preserve"> is relevant too. His research examines how elected officials respond to constituent preferences and how policy </w:t>
      </w:r>
      <w:r>
        <w:lastRenderedPageBreak/>
        <w:t>positions affect electoral fortunes, which connects to whether pursuing novel sustainability or social policies is rewarded or punished by voters.</w:t>
      </w:r>
    </w:p>
    <w:p w14:paraId="56A4A9F0" w14:textId="77777777" w:rsidR="0048490E" w:rsidRDefault="0048490E" w:rsidP="0048490E">
      <w:pPr>
        <w:pStyle w:val="font-claude-response-body"/>
        <w:numPr>
          <w:ilvl w:val="0"/>
          <w:numId w:val="2"/>
        </w:numPr>
      </w:pPr>
      <w:r>
        <w:t xml:space="preserve">On the urban side specifically, Jessica Trounstine's work on political monopolies and segregation in American cities (particularly her book </w:t>
      </w:r>
      <w:r>
        <w:rPr>
          <w:rStyle w:val="Emphasis"/>
          <w:rFonts w:eastAsiaTheme="majorEastAsia"/>
        </w:rPr>
        <w:t>Political Monopolies in American Cities</w:t>
      </w:r>
      <w:r>
        <w:t>) examines how urban political actors consolidate power through policy choices. While not about innovation per se, it provides a framework for understanding how policy entrepreneurship maps onto political advantage in municipal settings.</w:t>
      </w:r>
    </w:p>
    <w:p w14:paraId="061835A8" w14:textId="77777777" w:rsidR="0048490E" w:rsidRDefault="0048490E" w:rsidP="0048490E">
      <w:pPr>
        <w:pStyle w:val="font-claude-response-body"/>
        <w:numPr>
          <w:ilvl w:val="0"/>
          <w:numId w:val="2"/>
        </w:numPr>
      </w:pPr>
      <w:r w:rsidRPr="00856C88">
        <w:rPr>
          <w:highlight w:val="yellow"/>
        </w:rPr>
        <w:t xml:space="preserve">Chris </w:t>
      </w:r>
      <w:proofErr w:type="spellStart"/>
      <w:r w:rsidRPr="00856C88">
        <w:rPr>
          <w:highlight w:val="yellow"/>
        </w:rPr>
        <w:t>Tausanovitch</w:t>
      </w:r>
      <w:proofErr w:type="spellEnd"/>
      <w:r w:rsidRPr="00856C88">
        <w:rPr>
          <w:highlight w:val="yellow"/>
        </w:rPr>
        <w:t xml:space="preserve"> and Christopher Warshaw</w:t>
      </w:r>
      <w:r>
        <w:t xml:space="preserve"> have produced important work measuring municipal policy ideology and linking it to voter preferences and electoral outcomes. </w:t>
      </w:r>
      <w:r w:rsidRPr="00856C88">
        <w:rPr>
          <w:highlight w:val="yellow"/>
        </w:rPr>
        <w:t>Their data infrastructure could be useful for examining whether cities that adopt innovative policies see shifts in incumbent performance</w:t>
      </w:r>
      <w:r>
        <w:t>.</w:t>
      </w:r>
    </w:p>
    <w:p w14:paraId="69CF1CDC" w14:textId="77777777" w:rsidR="0048490E" w:rsidRDefault="0048490E" w:rsidP="0048490E">
      <w:pPr>
        <w:pStyle w:val="font-claude-response-body"/>
        <w:numPr>
          <w:ilvl w:val="0"/>
          <w:numId w:val="2"/>
        </w:numPr>
      </w:pPr>
      <w:r w:rsidRPr="009018E2">
        <w:rPr>
          <w:highlight w:val="yellow"/>
        </w:rPr>
        <w:t xml:space="preserve">Sarah Anzia's </w:t>
      </w:r>
      <w:r w:rsidRPr="009018E2">
        <w:rPr>
          <w:rStyle w:val="Emphasis"/>
          <w:rFonts w:eastAsiaTheme="majorEastAsia"/>
          <w:highlight w:val="yellow"/>
        </w:rPr>
        <w:t>Timing and Turnout</w:t>
      </w:r>
      <w:r>
        <w:t xml:space="preserve"> and her subsequent work on interest groups in local politics are relevant because they show </w:t>
      </w:r>
      <w:r w:rsidRPr="009018E2">
        <w:rPr>
          <w:highlight w:val="yellow"/>
        </w:rPr>
        <w:t>how the structure of local elections mediates the relationship between policy choices and political accountability</w:t>
      </w:r>
      <w:r>
        <w:t>. If innovation is driven partly by organized groups (as your civic capacity argument suggests), Anzia's framework helps explain when those groups can reward or punish politicians for innovation.</w:t>
      </w:r>
    </w:p>
    <w:p w14:paraId="499311EB" w14:textId="77777777" w:rsidR="0048490E" w:rsidRDefault="0048490E" w:rsidP="0048490E">
      <w:pPr>
        <w:pStyle w:val="font-claude-response-body"/>
        <w:numPr>
          <w:ilvl w:val="0"/>
          <w:numId w:val="2"/>
        </w:numPr>
      </w:pPr>
      <w:r>
        <w:t xml:space="preserve">For the environmental domain specifically, </w:t>
      </w:r>
      <w:r w:rsidRPr="0073156A">
        <w:rPr>
          <w:highlight w:val="yellow"/>
        </w:rPr>
        <w:t xml:space="preserve">Leah Stokes' </w:t>
      </w:r>
      <w:r w:rsidRPr="0073156A">
        <w:rPr>
          <w:rStyle w:val="Emphasis"/>
          <w:rFonts w:eastAsiaTheme="majorEastAsia"/>
          <w:highlight w:val="yellow"/>
        </w:rPr>
        <w:t>Short Circuiting Policy</w:t>
      </w:r>
      <w:r w:rsidRPr="0073156A">
        <w:rPr>
          <w:highlight w:val="yellow"/>
        </w:rPr>
        <w:t xml:space="preserve"> examines how the politics of clean energy policy play out over time, showing that innovative policies can generate political backlash, particularly when organized opposition mobilizes after adoption</w:t>
      </w:r>
      <w:r>
        <w:t>. This "policy feedback" perspective — drawing on the older tradition of Paul Pierson and Suzanne Mettler — is crucial for understanding whether innovation generates positive or negative returns for its champions.</w:t>
      </w:r>
    </w:p>
    <w:p w14:paraId="2A2330BA" w14:textId="77777777" w:rsidR="0048490E" w:rsidRDefault="0048490E" w:rsidP="0048490E">
      <w:pPr>
        <w:pStyle w:val="font-claude-response-body"/>
        <w:numPr>
          <w:ilvl w:val="0"/>
          <w:numId w:val="2"/>
        </w:numPr>
      </w:pPr>
      <w:r>
        <w:t xml:space="preserve">Douglas Arnold's classic </w:t>
      </w:r>
      <w:r>
        <w:rPr>
          <w:rStyle w:val="Emphasis"/>
          <w:rFonts w:eastAsiaTheme="majorEastAsia"/>
        </w:rPr>
        <w:t>The Logic of Congressional Action</w:t>
      </w:r>
      <w:r>
        <w:t xml:space="preserve"> provides a theoretical backbone for this question: whether constituents can trace policy outcomes back to individual political actors determines whether innovation is electorally consequential. </w:t>
      </w:r>
      <w:r w:rsidRPr="00FF5F71">
        <w:rPr>
          <w:highlight w:val="yellow"/>
        </w:rPr>
        <w:t>At the city level, the traceability of innovative policies to specific officeholders is an empirical question worth investigating</w:t>
      </w:r>
      <w:r>
        <w:t>.</w:t>
      </w:r>
    </w:p>
    <w:p w14:paraId="23110692" w14:textId="77777777" w:rsidR="0048490E" w:rsidRDefault="0048490E" w:rsidP="0048490E">
      <w:pPr>
        <w:pStyle w:val="font-claude-response-body"/>
        <w:numPr>
          <w:ilvl w:val="0"/>
          <w:numId w:val="2"/>
        </w:numPr>
      </w:pPr>
      <w:r>
        <w:t xml:space="preserve">Finally, there is a </w:t>
      </w:r>
      <w:r w:rsidRPr="00FF5F71">
        <w:rPr>
          <w:highlight w:val="yellow"/>
        </w:rPr>
        <w:t>growing literature on mayoral leadership and urban policy, including work by Richardson Dilworth and Timothy Krebs on mayoral elections, and Katherine Levine Einstein's work on local housing politics</w:t>
      </w:r>
      <w:r>
        <w:t xml:space="preserve">, that examines </w:t>
      </w:r>
      <w:r w:rsidRPr="00FF5F71">
        <w:rPr>
          <w:highlight w:val="yellow"/>
        </w:rPr>
        <w:t>how specific policy stances shape political trajectories in cities</w:t>
      </w:r>
      <w:r>
        <w:t>.</w:t>
      </w:r>
    </w:p>
    <w:p w14:paraId="5F35CEF4" w14:textId="77777777" w:rsidR="0048490E" w:rsidRDefault="0048490E" w:rsidP="0048490E">
      <w:pPr>
        <w:pStyle w:val="font-claude-response-body"/>
        <w:numPr>
          <w:ilvl w:val="0"/>
          <w:numId w:val="2"/>
        </w:numPr>
      </w:pPr>
      <w:r>
        <w:t xml:space="preserve">The gap I see in this literature is precisely the connection you're pointing toward: most of the policy innovation work is at the state or federal level, and </w:t>
      </w:r>
      <w:r w:rsidRPr="00CB46B7">
        <w:rPr>
          <w:highlight w:val="yellow"/>
        </w:rPr>
        <w:t>most of the urban politics work doesn't focus specifically on innovation adoption as a variable that shapes political fortunes.</w:t>
      </w:r>
      <w:r>
        <w:t xml:space="preserve"> Combining your organizational-field approach to urban innovation with these political science frameworks on accountability, credit-claiming, and policy feedback could be quite productive.</w:t>
      </w:r>
    </w:p>
    <w:p w14:paraId="5492BDBB" w14:textId="77777777" w:rsidR="0077524B" w:rsidRDefault="0077524B">
      <w:pPr>
        <w:rPr>
          <w:rFonts w:ascii="Times New Roman" w:eastAsia="Times New Roman" w:hAnsi="Times New Roman" w:cs="Times New Roman"/>
          <w:b/>
          <w:bCs/>
          <w:kern w:val="0"/>
          <w14:ligatures w14:val="none"/>
        </w:rPr>
      </w:pPr>
      <w:r>
        <w:rPr>
          <w:b/>
          <w:bCs/>
        </w:rPr>
        <w:br w:type="page"/>
      </w:r>
    </w:p>
    <w:p w14:paraId="149FC1CD" w14:textId="1ACD646F" w:rsidR="0048490E" w:rsidRDefault="0048490E" w:rsidP="0048490E">
      <w:pPr>
        <w:pStyle w:val="font-claude-response-body"/>
        <w:rPr>
          <w:b/>
          <w:bCs/>
        </w:rPr>
      </w:pPr>
      <w:r w:rsidRPr="0048490E">
        <w:rPr>
          <w:b/>
          <w:bCs/>
        </w:rPr>
        <w:lastRenderedPageBreak/>
        <w:t>References</w:t>
      </w:r>
    </w:p>
    <w:p w14:paraId="0DA214D0" w14:textId="2D4ECEF5" w:rsidR="0048490E" w:rsidRPr="0048490E" w:rsidRDefault="0048490E" w:rsidP="0048490E">
      <w:pPr>
        <w:pStyle w:val="font-claude-response-body"/>
        <w:rPr>
          <w:b/>
          <w:bCs/>
          <w:i/>
          <w:iCs/>
        </w:rPr>
      </w:pPr>
      <w:r w:rsidRPr="0048490E">
        <w:rPr>
          <w:b/>
          <w:bCs/>
          <w:i/>
          <w:iCs/>
        </w:rPr>
        <w:t xml:space="preserve">My work related to this topic </w:t>
      </w:r>
    </w:p>
    <w:p w14:paraId="50A31FE5" w14:textId="5B71D133" w:rsidR="0048490E" w:rsidRDefault="0048490E" w:rsidP="00130499">
      <w:pPr>
        <w:pStyle w:val="font-claude-response-body"/>
        <w:ind w:left="180" w:hanging="180"/>
      </w:pPr>
      <w:r w:rsidRPr="004F5FF5">
        <w:rPr>
          <w:highlight w:val="yellow"/>
        </w:rPr>
        <w:t xml:space="preserve">Brandtner, C. (2022). Green American city: Civic capacity and the distributed adoption of urban innovations. </w:t>
      </w:r>
      <w:r w:rsidRPr="004F5FF5">
        <w:rPr>
          <w:rStyle w:val="Emphasis"/>
          <w:rFonts w:eastAsiaTheme="majorEastAsia"/>
          <w:highlight w:val="yellow"/>
        </w:rPr>
        <w:t>American Journal of Sociology</w:t>
      </w:r>
      <w:r w:rsidRPr="004F5FF5">
        <w:rPr>
          <w:highlight w:val="yellow"/>
        </w:rPr>
        <w:t>, 128(3), 627–679.</w:t>
      </w:r>
      <w:r>
        <w:t xml:space="preserve"> </w:t>
      </w:r>
    </w:p>
    <w:p w14:paraId="1D0B7ED1" w14:textId="3873758F" w:rsidR="0048490E" w:rsidRDefault="0048490E" w:rsidP="00130499">
      <w:pPr>
        <w:pStyle w:val="font-claude-response-body"/>
        <w:ind w:left="180" w:hanging="180"/>
      </w:pPr>
      <w:r>
        <w:t xml:space="preserve">Brandtner, C. (2023, March 23). Can cities be the source of scalable innovations? </w:t>
      </w:r>
      <w:r>
        <w:rPr>
          <w:rStyle w:val="Emphasis"/>
          <w:rFonts w:eastAsiaTheme="majorEastAsia"/>
        </w:rPr>
        <w:t>Stanford Social Innovation Review</w:t>
      </w:r>
      <w:r>
        <w:t xml:space="preserve">. </w:t>
      </w:r>
      <w:hyperlink r:id="rId9" w:history="1">
        <w:r>
          <w:rPr>
            <w:rStyle w:val="Hyperlink"/>
            <w:rFonts w:eastAsiaTheme="majorEastAsia"/>
          </w:rPr>
          <w:t>https://doi.org/10.48558/PWBD-NN15</w:t>
        </w:r>
      </w:hyperlink>
      <w:r>
        <w:t xml:space="preserve"> </w:t>
      </w:r>
    </w:p>
    <w:p w14:paraId="5D0CDD9C" w14:textId="16F432A0" w:rsidR="0048490E" w:rsidRDefault="0048490E" w:rsidP="00130499">
      <w:pPr>
        <w:pStyle w:val="font-claude-response-body"/>
        <w:ind w:left="180" w:hanging="180"/>
      </w:pPr>
      <w:r>
        <w:t xml:space="preserve">Brandtner, C. (2026). </w:t>
      </w:r>
      <w:r>
        <w:rPr>
          <w:rStyle w:val="Emphasis"/>
          <w:rFonts w:eastAsiaTheme="majorEastAsia"/>
        </w:rPr>
        <w:t>Cities in action: Organizations, institutions, and urban climate strategies</w:t>
      </w:r>
      <w:r>
        <w:t>. Columbia University Press. [Forthcoming]</w:t>
      </w:r>
    </w:p>
    <w:p w14:paraId="519E80AA" w14:textId="20A76D7A" w:rsidR="0048490E" w:rsidRDefault="0048490E" w:rsidP="00130499">
      <w:pPr>
        <w:pStyle w:val="font-claude-response-body"/>
        <w:ind w:left="180" w:hanging="180"/>
      </w:pPr>
      <w:r>
        <w:t xml:space="preserve">Brandtner, C., Bettencourt, L. M. A., Berman, M. G., &amp; Stier, A. J. (2021). Creatures of the state? Metropolitan counties compensated for state inaction in initial U.S. response to COVID-19 pandemic. </w:t>
      </w:r>
      <w:proofErr w:type="spellStart"/>
      <w:r>
        <w:rPr>
          <w:rStyle w:val="Emphasis"/>
          <w:rFonts w:eastAsiaTheme="majorEastAsia"/>
        </w:rPr>
        <w:t>PLoS</w:t>
      </w:r>
      <w:proofErr w:type="spellEnd"/>
      <w:r>
        <w:rPr>
          <w:rStyle w:val="Emphasis"/>
          <w:rFonts w:eastAsiaTheme="majorEastAsia"/>
        </w:rPr>
        <w:t xml:space="preserve"> ONE</w:t>
      </w:r>
      <w:r>
        <w:t>, 16(2), e0246249.</w:t>
      </w:r>
    </w:p>
    <w:p w14:paraId="48BACF2D" w14:textId="24B83873" w:rsidR="0048490E" w:rsidRDefault="0048490E" w:rsidP="00130499">
      <w:pPr>
        <w:pStyle w:val="font-claude-response-body"/>
        <w:ind w:left="180" w:hanging="180"/>
      </w:pPr>
      <w:r>
        <w:t xml:space="preserve">Brandtner, C., </w:t>
      </w:r>
      <w:proofErr w:type="spellStart"/>
      <w:r>
        <w:t>Höllerer</w:t>
      </w:r>
      <w:proofErr w:type="spellEnd"/>
      <w:r>
        <w:t xml:space="preserve">, M. A., Meyer, R. E., &amp; Kornberger, M. (2017). Enacting governance through strategy: A comparative study of governance configurations in Sydney and Vienna. </w:t>
      </w:r>
      <w:r>
        <w:rPr>
          <w:rStyle w:val="Emphasis"/>
          <w:rFonts w:eastAsiaTheme="majorEastAsia"/>
        </w:rPr>
        <w:t>Urban Studies</w:t>
      </w:r>
      <w:r>
        <w:t>, 54(5), 1075–1091.</w:t>
      </w:r>
    </w:p>
    <w:p w14:paraId="41AACDE2" w14:textId="08492DCD" w:rsidR="0048490E" w:rsidRDefault="0048490E" w:rsidP="00130499">
      <w:pPr>
        <w:pStyle w:val="font-claude-response-body"/>
        <w:ind w:left="180" w:hanging="180"/>
      </w:pPr>
      <w:r w:rsidRPr="008C34BF">
        <w:rPr>
          <w:highlight w:val="yellow"/>
        </w:rPr>
        <w:t xml:space="preserve">Brandtner, C., Laryea, K., Park, G., Luo, W., Meyer, M., Suárez, D., Hwang, H., &amp; Powell, W. W. (2024). Neighborhood effects on integrative organizational practices in five global cities. </w:t>
      </w:r>
      <w:r w:rsidRPr="008C34BF">
        <w:rPr>
          <w:rStyle w:val="Emphasis"/>
          <w:rFonts w:eastAsiaTheme="majorEastAsia"/>
          <w:highlight w:val="yellow"/>
        </w:rPr>
        <w:t>Nature Cities</w:t>
      </w:r>
      <w:r w:rsidRPr="008C34BF">
        <w:rPr>
          <w:highlight w:val="yellow"/>
        </w:rPr>
        <w:t>, 1, 853–860.</w:t>
      </w:r>
    </w:p>
    <w:p w14:paraId="50A93D74" w14:textId="06BA2DA0" w:rsidR="0048490E" w:rsidRDefault="0048490E" w:rsidP="00130499">
      <w:pPr>
        <w:pStyle w:val="font-claude-response-body"/>
        <w:ind w:left="180" w:hanging="180"/>
      </w:pPr>
      <w:r>
        <w:t xml:space="preserve">Brandtner, C., &amp; Powell, W. W. (2022). Capturing the civic lives of cities: An organizational, place-based perspective on civil society in global cities. </w:t>
      </w:r>
      <w:r>
        <w:rPr>
          <w:rStyle w:val="Emphasis"/>
          <w:rFonts w:eastAsiaTheme="majorEastAsia"/>
        </w:rPr>
        <w:t>Global Perspectives</w:t>
      </w:r>
      <w:r>
        <w:t>, 3(1), 36408.</w:t>
      </w:r>
    </w:p>
    <w:p w14:paraId="07A769A1" w14:textId="37DB8FFF" w:rsidR="0048490E" w:rsidRDefault="0048490E" w:rsidP="00130499">
      <w:pPr>
        <w:pStyle w:val="font-claude-response-body"/>
        <w:ind w:left="180" w:hanging="180"/>
      </w:pPr>
      <w:r w:rsidRPr="007462CB">
        <w:rPr>
          <w:highlight w:val="yellow"/>
        </w:rPr>
        <w:t xml:space="preserve">Brandtner, C., &amp; Suárez, D. (2021). The structure of city action: Institutional embeddedness and sustainability practices in U.S. cities. </w:t>
      </w:r>
      <w:r w:rsidRPr="007462CB">
        <w:rPr>
          <w:rStyle w:val="Emphasis"/>
          <w:rFonts w:eastAsiaTheme="majorEastAsia"/>
          <w:highlight w:val="yellow"/>
        </w:rPr>
        <w:t>American Review of Public Administration</w:t>
      </w:r>
      <w:r w:rsidRPr="007462CB">
        <w:rPr>
          <w:highlight w:val="yellow"/>
        </w:rPr>
        <w:t>, 51(2), 121–138.</w:t>
      </w:r>
    </w:p>
    <w:p w14:paraId="3C8BFAD6" w14:textId="3F677AF5" w:rsidR="0048490E" w:rsidRDefault="0048490E" w:rsidP="00130499">
      <w:pPr>
        <w:pStyle w:val="font-claude-response-body"/>
        <w:ind w:left="180" w:hanging="180"/>
      </w:pPr>
      <w:r>
        <w:t xml:space="preserve">Brandtner, C., Sorenson, O., &amp; Feldman, M. (2025). Prosperous places: Processes, policies, and practices. </w:t>
      </w:r>
      <w:r>
        <w:rPr>
          <w:rStyle w:val="Emphasis"/>
          <w:rFonts w:eastAsiaTheme="majorEastAsia"/>
        </w:rPr>
        <w:t>Industrial and Corporate Change</w:t>
      </w:r>
      <w:r>
        <w:t>.</w:t>
      </w:r>
    </w:p>
    <w:p w14:paraId="6122CA2B" w14:textId="084A27E4" w:rsidR="0048490E" w:rsidRDefault="0048490E" w:rsidP="00130499">
      <w:pPr>
        <w:pStyle w:val="font-claude-response-body"/>
        <w:ind w:left="180" w:hanging="180"/>
      </w:pPr>
      <w:r>
        <w:t xml:space="preserve">Brandtner, C., Ashur, P., &amp; Srinivasa Desikan, B. (2025). Dynamic persistence of institutions: Modeling the historical endurance of Red Vienna's public housing utopia. </w:t>
      </w:r>
      <w:r>
        <w:rPr>
          <w:rStyle w:val="Emphasis"/>
          <w:rFonts w:eastAsiaTheme="majorEastAsia"/>
        </w:rPr>
        <w:t>Organization Studies</w:t>
      </w:r>
      <w:r>
        <w:t>.</w:t>
      </w:r>
    </w:p>
    <w:p w14:paraId="0EB2B914" w14:textId="48565B2F" w:rsidR="0048490E" w:rsidRDefault="0048490E" w:rsidP="00130499">
      <w:pPr>
        <w:pStyle w:val="font-claude-response-body"/>
        <w:ind w:left="180" w:hanging="180"/>
      </w:pPr>
      <w:r w:rsidRPr="007462CB">
        <w:rPr>
          <w:highlight w:val="yellow"/>
        </w:rPr>
        <w:t xml:space="preserve">Gonzalez, A., &amp; Brandtner, C. (2024). Green in their own way: Pragmatic and progressive means for cities to overcome institutional barriers to sustainability. </w:t>
      </w:r>
      <w:r w:rsidRPr="007462CB">
        <w:rPr>
          <w:rStyle w:val="Emphasis"/>
          <w:rFonts w:eastAsiaTheme="majorEastAsia"/>
          <w:highlight w:val="yellow"/>
        </w:rPr>
        <w:t>Urban Studies</w:t>
      </w:r>
      <w:r w:rsidRPr="007462CB">
        <w:rPr>
          <w:highlight w:val="yellow"/>
        </w:rPr>
        <w:t>, 61(13), 2513–2530.</w:t>
      </w:r>
    </w:p>
    <w:p w14:paraId="7972E57E" w14:textId="55C87A7E" w:rsidR="0048490E" w:rsidRDefault="0048490E" w:rsidP="00130499">
      <w:pPr>
        <w:pStyle w:val="font-claude-response-body"/>
        <w:ind w:left="180" w:hanging="180"/>
      </w:pPr>
      <w:r w:rsidRPr="00C54645">
        <w:rPr>
          <w:highlight w:val="yellow"/>
        </w:rPr>
        <w:t xml:space="preserve">Sharkey, A., Young, K., Brandtner, C., &amp; Bergemann, P. (2025). Organizational scarring, legal consciousness, and the diffusion of local government litigation against opioid manufacturers. </w:t>
      </w:r>
      <w:r w:rsidRPr="00C54645">
        <w:rPr>
          <w:rStyle w:val="Emphasis"/>
          <w:rFonts w:eastAsiaTheme="majorEastAsia"/>
          <w:highlight w:val="yellow"/>
        </w:rPr>
        <w:t>American Sociological Review</w:t>
      </w:r>
      <w:r w:rsidRPr="00C54645">
        <w:rPr>
          <w:highlight w:val="yellow"/>
        </w:rPr>
        <w:t>.</w:t>
      </w:r>
    </w:p>
    <w:p w14:paraId="47DAF993" w14:textId="0D18CA48" w:rsidR="0048490E" w:rsidRPr="0048490E" w:rsidRDefault="0048490E" w:rsidP="0048490E">
      <w:pPr>
        <w:pStyle w:val="font-claude-response-body"/>
        <w:rPr>
          <w:b/>
          <w:bCs/>
          <w:i/>
          <w:iCs/>
        </w:rPr>
      </w:pPr>
      <w:r w:rsidRPr="0048490E">
        <w:rPr>
          <w:b/>
          <w:bCs/>
          <w:i/>
          <w:iCs/>
        </w:rPr>
        <w:lastRenderedPageBreak/>
        <w:t xml:space="preserve">Policy innovativeness and diffusion </w:t>
      </w:r>
      <w:r>
        <w:rPr>
          <w:b/>
          <w:bCs/>
          <w:i/>
          <w:iCs/>
        </w:rPr>
        <w:t>in political science</w:t>
      </w:r>
    </w:p>
    <w:p w14:paraId="36A55E56" w14:textId="0B14E64E" w:rsidR="0048490E" w:rsidRDefault="0048490E" w:rsidP="00130499">
      <w:pPr>
        <w:pStyle w:val="font-claude-response-body"/>
        <w:ind w:left="180" w:hanging="180"/>
      </w:pPr>
      <w:r>
        <w:t xml:space="preserve">Walker, J. L. (1969). The diffusion of innovations among the American states. </w:t>
      </w:r>
      <w:r>
        <w:rPr>
          <w:rStyle w:val="Emphasis"/>
          <w:rFonts w:eastAsiaTheme="majorEastAsia"/>
        </w:rPr>
        <w:t>American Political Science Review</w:t>
      </w:r>
      <w:r>
        <w:t xml:space="preserve">, 63(3), 880–899. </w:t>
      </w:r>
    </w:p>
    <w:p w14:paraId="0120CC3B" w14:textId="4CAB8D56" w:rsidR="0048490E" w:rsidRDefault="0048490E" w:rsidP="00130499">
      <w:pPr>
        <w:pStyle w:val="font-claude-response-body"/>
        <w:ind w:left="180" w:hanging="180"/>
      </w:pPr>
      <w:r>
        <w:t xml:space="preserve">Boehmke, F. J., &amp; Skinner, P. (2012). State policy innovativeness revisited. </w:t>
      </w:r>
      <w:r>
        <w:rPr>
          <w:rStyle w:val="Emphasis"/>
          <w:rFonts w:eastAsiaTheme="majorEastAsia"/>
        </w:rPr>
        <w:t>State Politics &amp; Policy Quarterly</w:t>
      </w:r>
      <w:r>
        <w:t>, 12(3), 303–329.</w:t>
      </w:r>
    </w:p>
    <w:p w14:paraId="6247B5BE" w14:textId="5583EFCC" w:rsidR="0048490E" w:rsidRDefault="0048490E" w:rsidP="00130499">
      <w:pPr>
        <w:pStyle w:val="font-claude-response-body"/>
        <w:ind w:left="180" w:hanging="180"/>
      </w:pPr>
      <w:r>
        <w:t xml:space="preserve">Boehmke, F. J., Brockway, M., Desmarais, B. A., Harden, J. J., </w:t>
      </w:r>
      <w:proofErr w:type="spellStart"/>
      <w:r>
        <w:t>LaCombe</w:t>
      </w:r>
      <w:proofErr w:type="spellEnd"/>
      <w:r>
        <w:t xml:space="preserve">, S., Linder, F., &amp; Wallach, H. (2020). SPID: A new database for inferring public policy innovativeness and diffusion networks. </w:t>
      </w:r>
      <w:r>
        <w:rPr>
          <w:rStyle w:val="Emphasis"/>
          <w:rFonts w:eastAsiaTheme="majorEastAsia"/>
        </w:rPr>
        <w:t>Policy Studies Journal</w:t>
      </w:r>
      <w:r>
        <w:t>, 48(2), 517–545.</w:t>
      </w:r>
    </w:p>
    <w:p w14:paraId="741430B5" w14:textId="419338A8" w:rsidR="0048490E" w:rsidRDefault="0048490E" w:rsidP="00130499">
      <w:pPr>
        <w:pStyle w:val="font-claude-response-body"/>
        <w:ind w:left="180" w:hanging="180"/>
      </w:pPr>
      <w:proofErr w:type="spellStart"/>
      <w:r>
        <w:t>Shipan</w:t>
      </w:r>
      <w:proofErr w:type="spellEnd"/>
      <w:r>
        <w:t xml:space="preserve">, C. R., &amp; Volden, C. (2006). Bottom-up federalism: The diffusion of antismoking policies from U.S. cities to states. </w:t>
      </w:r>
      <w:r>
        <w:rPr>
          <w:rStyle w:val="Emphasis"/>
          <w:rFonts w:eastAsiaTheme="majorEastAsia"/>
        </w:rPr>
        <w:t>American Journal of Political Science</w:t>
      </w:r>
      <w:r>
        <w:t xml:space="preserve">, 50(4), 825–843. </w:t>
      </w:r>
    </w:p>
    <w:p w14:paraId="459D90A1" w14:textId="0F1CA1DB" w:rsidR="0048490E" w:rsidRDefault="0048490E" w:rsidP="00130499">
      <w:pPr>
        <w:pStyle w:val="font-claude-response-body"/>
        <w:ind w:left="180" w:hanging="180"/>
      </w:pPr>
      <w:proofErr w:type="spellStart"/>
      <w:r>
        <w:t>Shipan</w:t>
      </w:r>
      <w:proofErr w:type="spellEnd"/>
      <w:r>
        <w:t xml:space="preserve">, C. R., &amp; Volden, C. (2008). The mechanisms of policy diffusion. </w:t>
      </w:r>
      <w:r>
        <w:rPr>
          <w:rStyle w:val="Emphasis"/>
          <w:rFonts w:eastAsiaTheme="majorEastAsia"/>
        </w:rPr>
        <w:t>American Journal of Political Science</w:t>
      </w:r>
      <w:r>
        <w:t>, 52(4), 840–857.</w:t>
      </w:r>
    </w:p>
    <w:p w14:paraId="48C25A83" w14:textId="5AF7CD16" w:rsidR="0048490E" w:rsidRDefault="0048490E" w:rsidP="00130499">
      <w:pPr>
        <w:pStyle w:val="font-claude-response-body"/>
        <w:ind w:left="180" w:hanging="180"/>
      </w:pPr>
      <w:proofErr w:type="spellStart"/>
      <w:r>
        <w:t>Shipan</w:t>
      </w:r>
      <w:proofErr w:type="spellEnd"/>
      <w:r>
        <w:t xml:space="preserve">, C. R., &amp; Volden, C. (2012). Policy diffusion: Seven lessons for scholars and practitioners. </w:t>
      </w:r>
      <w:r>
        <w:rPr>
          <w:rStyle w:val="Emphasis"/>
          <w:rFonts w:eastAsiaTheme="majorEastAsia"/>
        </w:rPr>
        <w:t>Public Administration Review</w:t>
      </w:r>
      <w:r>
        <w:t>, 72(6), 788–796.</w:t>
      </w:r>
    </w:p>
    <w:p w14:paraId="63172E40" w14:textId="2BC99101" w:rsidR="0048490E" w:rsidRDefault="0048490E" w:rsidP="00130499">
      <w:pPr>
        <w:pStyle w:val="font-claude-response-body"/>
        <w:ind w:left="180" w:hanging="180"/>
      </w:pPr>
      <w:r>
        <w:t xml:space="preserve">Volden, C. (2006). States as policy laboratories: Emulating success in the Children's Health Insurance Program. </w:t>
      </w:r>
      <w:r>
        <w:rPr>
          <w:rStyle w:val="Emphasis"/>
          <w:rFonts w:eastAsiaTheme="majorEastAsia"/>
        </w:rPr>
        <w:t>American Journal of Political Science</w:t>
      </w:r>
      <w:r>
        <w:t>, 50(2), 294–312.</w:t>
      </w:r>
    </w:p>
    <w:p w14:paraId="0B564537" w14:textId="39C4DC1A" w:rsidR="0048490E" w:rsidRDefault="0048490E" w:rsidP="00130499">
      <w:pPr>
        <w:pStyle w:val="font-claude-response-body"/>
        <w:ind w:left="180" w:hanging="180"/>
      </w:pPr>
      <w:r>
        <w:t xml:space="preserve">Volden, C., Ting, M. M., &amp; Carpenter, D. P. (2008). A formal model of learning and policy diffusion. </w:t>
      </w:r>
      <w:r>
        <w:rPr>
          <w:rStyle w:val="Emphasis"/>
          <w:rFonts w:eastAsiaTheme="majorEastAsia"/>
        </w:rPr>
        <w:t>American Political Science Review</w:t>
      </w:r>
      <w:r>
        <w:t>, 102(3), 319–332.</w:t>
      </w:r>
    </w:p>
    <w:p w14:paraId="07A9FB0B" w14:textId="77777777" w:rsidR="0048490E" w:rsidRPr="0048490E" w:rsidRDefault="0048490E" w:rsidP="0048490E">
      <w:pPr>
        <w:pStyle w:val="font-claude-response-body"/>
        <w:rPr>
          <w:b/>
          <w:bCs/>
          <w:i/>
          <w:iCs/>
        </w:rPr>
      </w:pPr>
      <w:r w:rsidRPr="0048490E">
        <w:rPr>
          <w:b/>
          <w:bCs/>
          <w:i/>
          <w:iCs/>
        </w:rPr>
        <w:t>Policy feedback and electoral backlash</w:t>
      </w:r>
    </w:p>
    <w:p w14:paraId="1F1080FB" w14:textId="2171BBF9" w:rsidR="0048490E" w:rsidRDefault="0048490E" w:rsidP="00130499">
      <w:pPr>
        <w:pStyle w:val="font-claude-response-body"/>
        <w:ind w:left="180" w:hanging="180"/>
      </w:pPr>
      <w:r>
        <w:t xml:space="preserve">Arnold, R. D. (1990). </w:t>
      </w:r>
      <w:r>
        <w:rPr>
          <w:rStyle w:val="Emphasis"/>
          <w:rFonts w:eastAsiaTheme="majorEastAsia"/>
        </w:rPr>
        <w:t>The logic of congressional action</w:t>
      </w:r>
      <w:r>
        <w:t>. Yale University Press.</w:t>
      </w:r>
    </w:p>
    <w:p w14:paraId="5730E88F" w14:textId="2B8C79EE" w:rsidR="0048490E" w:rsidRDefault="0048490E" w:rsidP="00130499">
      <w:pPr>
        <w:pStyle w:val="font-claude-response-body"/>
        <w:ind w:left="180" w:hanging="180"/>
      </w:pPr>
      <w:r>
        <w:t xml:space="preserve">Stokes, L. C. (2020). </w:t>
      </w:r>
      <w:r>
        <w:rPr>
          <w:rStyle w:val="Emphasis"/>
          <w:rFonts w:eastAsiaTheme="majorEastAsia"/>
        </w:rPr>
        <w:t>Short circuiting policy: Interest groups and the battle over clean energy and climate policy in the American states</w:t>
      </w:r>
      <w:r>
        <w:t>. Oxford University Press.</w:t>
      </w:r>
    </w:p>
    <w:p w14:paraId="3FEE2C61" w14:textId="5F0F7ACC" w:rsidR="0048490E" w:rsidRDefault="0048490E" w:rsidP="00130499">
      <w:pPr>
        <w:pStyle w:val="font-claude-response-body"/>
        <w:ind w:left="180" w:hanging="180"/>
      </w:pPr>
      <w:r w:rsidRPr="0048490E">
        <w:t>Pierson, P. (1993). When effect becomes cause: Policy feedback and political change. </w:t>
      </w:r>
      <w:r w:rsidRPr="0048490E">
        <w:rPr>
          <w:i/>
          <w:iCs/>
        </w:rPr>
        <w:t>World Politics</w:t>
      </w:r>
      <w:r w:rsidRPr="0048490E">
        <w:t>, 45(4), 595-628.</w:t>
      </w:r>
      <w:r>
        <w:t xml:space="preserve"> </w:t>
      </w:r>
    </w:p>
    <w:p w14:paraId="63D9C662" w14:textId="77777777" w:rsidR="0048490E" w:rsidRDefault="0048490E" w:rsidP="00130499">
      <w:pPr>
        <w:pStyle w:val="font-claude-response-body"/>
        <w:ind w:left="180" w:hanging="180"/>
      </w:pPr>
      <w:r w:rsidRPr="0048490E">
        <w:t>Mettler, S. (2007). </w:t>
      </w:r>
      <w:r w:rsidRPr="0048490E">
        <w:rPr>
          <w:i/>
          <w:iCs/>
        </w:rPr>
        <w:t>Soldiers to citizens: The GI Bill and the making of the greatest generation.</w:t>
      </w:r>
      <w:r w:rsidRPr="0048490E">
        <w:t xml:space="preserve"> Oxford University Press.</w:t>
      </w:r>
      <w:r>
        <w:t xml:space="preserve"> </w:t>
      </w:r>
    </w:p>
    <w:p w14:paraId="2E49145C" w14:textId="77777777" w:rsidR="0048490E" w:rsidRPr="0048490E" w:rsidRDefault="0048490E" w:rsidP="00130499">
      <w:pPr>
        <w:pStyle w:val="font-claude-response-body"/>
        <w:ind w:left="180" w:hanging="180"/>
      </w:pPr>
      <w:proofErr w:type="spellStart"/>
      <w:r w:rsidRPr="0048490E">
        <w:t>Bolet</w:t>
      </w:r>
      <w:proofErr w:type="spellEnd"/>
      <w:r w:rsidRPr="0048490E">
        <w:t>, D., Green, F., &amp; Gonzalez-Eguino, M. (2024). How to get coal country to vote for climate policy: The effect of a “Just Transition Agreement” on Spanish election results. </w:t>
      </w:r>
      <w:r w:rsidRPr="0048490E">
        <w:rPr>
          <w:i/>
          <w:iCs/>
        </w:rPr>
        <w:t>American Political Science Review</w:t>
      </w:r>
      <w:r w:rsidRPr="0048490E">
        <w:t>, 118(3), 1344-1359.</w:t>
      </w:r>
    </w:p>
    <w:p w14:paraId="772F0661" w14:textId="5D76B6A1" w:rsidR="0048490E" w:rsidRPr="0048490E" w:rsidRDefault="0048490E" w:rsidP="0048490E">
      <w:pPr>
        <w:pStyle w:val="font-claude-response-body"/>
        <w:rPr>
          <w:b/>
          <w:bCs/>
          <w:i/>
          <w:iCs/>
        </w:rPr>
      </w:pPr>
      <w:r w:rsidRPr="0048490E">
        <w:rPr>
          <w:b/>
          <w:bCs/>
          <w:i/>
          <w:iCs/>
        </w:rPr>
        <w:t>Local elections, mayoral politics, and urban political science</w:t>
      </w:r>
    </w:p>
    <w:p w14:paraId="62149C9D" w14:textId="5687D69A" w:rsidR="0048490E" w:rsidRDefault="0048490E" w:rsidP="00130499">
      <w:pPr>
        <w:pStyle w:val="font-claude-response-body"/>
        <w:ind w:left="180" w:hanging="180"/>
      </w:pPr>
      <w:r>
        <w:lastRenderedPageBreak/>
        <w:t xml:space="preserve">Anzia, S. F. (2013). </w:t>
      </w:r>
      <w:r>
        <w:rPr>
          <w:rStyle w:val="Emphasis"/>
          <w:rFonts w:eastAsiaTheme="majorEastAsia"/>
        </w:rPr>
        <w:t>Timing and turnout: How off-cycle elections favor organized interests</w:t>
      </w:r>
      <w:r>
        <w:t xml:space="preserve">. University of Chicago Press. </w:t>
      </w:r>
    </w:p>
    <w:p w14:paraId="4BC92A19" w14:textId="3440B274" w:rsidR="0048490E" w:rsidRDefault="0048490E" w:rsidP="00130499">
      <w:pPr>
        <w:pStyle w:val="font-claude-response-body"/>
        <w:ind w:left="180" w:hanging="180"/>
      </w:pPr>
      <w:r>
        <w:t xml:space="preserve">Anzia, S. F. (2022). </w:t>
      </w:r>
      <w:r>
        <w:rPr>
          <w:rStyle w:val="Emphasis"/>
          <w:rFonts w:eastAsiaTheme="majorEastAsia"/>
        </w:rPr>
        <w:t>Local interests: Politics, policy, and interest groups in U.S. city governments</w:t>
      </w:r>
      <w:r>
        <w:t xml:space="preserve">. University of Chicago Press. </w:t>
      </w:r>
    </w:p>
    <w:p w14:paraId="7F60CC9B" w14:textId="0A4B7ABA" w:rsidR="0048490E" w:rsidRDefault="0048490E" w:rsidP="00130499">
      <w:pPr>
        <w:pStyle w:val="font-claude-response-body"/>
        <w:ind w:left="180" w:hanging="180"/>
        <w:rPr>
          <w:rStyle w:val="Strong"/>
          <w:rFonts w:eastAsiaTheme="majorEastAsia"/>
        </w:rPr>
      </w:pPr>
      <w:r>
        <w:t xml:space="preserve">De Benedictis-Kessner, J., &amp; Warshaw, C. (2016). Mayoral partisanship and municipal fiscal policy. </w:t>
      </w:r>
      <w:r>
        <w:rPr>
          <w:rStyle w:val="Emphasis"/>
          <w:rFonts w:eastAsiaTheme="majorEastAsia"/>
        </w:rPr>
        <w:t>Journal of Politics</w:t>
      </w:r>
      <w:r>
        <w:t xml:space="preserve">, 78(4), 1124–1138. </w:t>
      </w:r>
    </w:p>
    <w:p w14:paraId="3F965A1C" w14:textId="69BAF9AF" w:rsidR="0048490E" w:rsidRDefault="0048490E" w:rsidP="00130499">
      <w:pPr>
        <w:pStyle w:val="font-claude-response-body"/>
        <w:ind w:left="180" w:hanging="180"/>
      </w:pPr>
      <w:r>
        <w:t xml:space="preserve">De Benedictis-Kessner, J., &amp; Warshaw, C. (2020). Politics in forgotten governments: The partisan composition of county legislatures and county fiscal policies. </w:t>
      </w:r>
      <w:r>
        <w:rPr>
          <w:rStyle w:val="Emphasis"/>
          <w:rFonts w:eastAsiaTheme="majorEastAsia"/>
        </w:rPr>
        <w:t>Journal of Politics</w:t>
      </w:r>
      <w:r>
        <w:t>, 82(2).</w:t>
      </w:r>
    </w:p>
    <w:p w14:paraId="060BAB22" w14:textId="26047002" w:rsidR="0048490E" w:rsidRDefault="0048490E" w:rsidP="00130499">
      <w:pPr>
        <w:pStyle w:val="font-claude-response-body"/>
        <w:ind w:left="180" w:hanging="180"/>
      </w:pPr>
      <w:r w:rsidRPr="0048490E">
        <w:rPr>
          <w:highlight w:val="yellow"/>
        </w:rPr>
        <w:t xml:space="preserve">De Benedictis-Kessner, J., Lee, D. S., Lowery, R., &amp; Warshaw, C. (2023). American local government elections database (ALGED). </w:t>
      </w:r>
      <w:r w:rsidRPr="0048490E">
        <w:rPr>
          <w:rStyle w:val="Emphasis"/>
          <w:rFonts w:eastAsiaTheme="majorEastAsia"/>
          <w:highlight w:val="yellow"/>
        </w:rPr>
        <w:t>Scientific Data</w:t>
      </w:r>
      <w:r w:rsidRPr="0048490E">
        <w:rPr>
          <w:highlight w:val="yellow"/>
        </w:rPr>
        <w:t>, 10, 860.</w:t>
      </w:r>
    </w:p>
    <w:p w14:paraId="375A1E51" w14:textId="7A7D7ED0" w:rsidR="0048490E" w:rsidRPr="0048490E" w:rsidRDefault="0048490E" w:rsidP="0048490E">
      <w:pPr>
        <w:pStyle w:val="font-claude-response-body"/>
        <w:numPr>
          <w:ilvl w:val="0"/>
          <w:numId w:val="5"/>
        </w:numPr>
        <w:rPr>
          <w:i/>
          <w:iCs/>
        </w:rPr>
      </w:pPr>
      <w:r w:rsidRPr="0048490E">
        <w:rPr>
          <w:i/>
          <w:iCs/>
        </w:rPr>
        <w:t>Just flagging this since it seems very relevant to measuring the DV.</w:t>
      </w:r>
    </w:p>
    <w:p w14:paraId="071270DF" w14:textId="77777777" w:rsidR="0048490E" w:rsidRDefault="0048490E" w:rsidP="00130499">
      <w:pPr>
        <w:pStyle w:val="font-claude-response-body"/>
        <w:ind w:left="180" w:hanging="180"/>
      </w:pPr>
      <w:r w:rsidRPr="0048490E">
        <w:t>Einstein, Katherine Levine, and David M. Glick. "Mayors, partisanship, and redistribution: Evidence directly from US mayors." </w:t>
      </w:r>
      <w:r w:rsidRPr="0048490E">
        <w:rPr>
          <w:i/>
          <w:iCs/>
        </w:rPr>
        <w:t>Urban Affairs Review</w:t>
      </w:r>
      <w:r w:rsidRPr="0048490E">
        <w:t> 54.1 (2018): 74-106.</w:t>
      </w:r>
      <w:r>
        <w:t xml:space="preserve"> </w:t>
      </w:r>
    </w:p>
    <w:p w14:paraId="0641B7C9" w14:textId="64576077" w:rsidR="0048490E" w:rsidRDefault="0048490E" w:rsidP="00130499">
      <w:pPr>
        <w:pStyle w:val="font-claude-response-body"/>
        <w:ind w:left="180" w:hanging="180"/>
      </w:pPr>
      <w:r>
        <w:t xml:space="preserve">Einstein, K. L., Palmer, M., Hamilton, E., &amp; Singer, E. (2025). Age and homeownership drive the local turnout gap. </w:t>
      </w:r>
      <w:r>
        <w:rPr>
          <w:rStyle w:val="Emphasis"/>
          <w:rFonts w:eastAsiaTheme="majorEastAsia"/>
        </w:rPr>
        <w:t>Urban Affairs Review</w:t>
      </w:r>
      <w:r>
        <w:t xml:space="preserve">. </w:t>
      </w:r>
    </w:p>
    <w:p w14:paraId="22345690" w14:textId="0238AE88" w:rsidR="0048490E" w:rsidRDefault="0048490E" w:rsidP="00130499">
      <w:pPr>
        <w:pStyle w:val="font-claude-response-body"/>
        <w:ind w:left="180" w:hanging="180"/>
      </w:pPr>
      <w:r>
        <w:t xml:space="preserve">Trounstine, J. (2008). </w:t>
      </w:r>
      <w:r>
        <w:rPr>
          <w:rStyle w:val="Emphasis"/>
          <w:rFonts w:eastAsiaTheme="majorEastAsia"/>
        </w:rPr>
        <w:t>Political monopolies in American cities: The rise and fall of bosses and reformers</w:t>
      </w:r>
      <w:r>
        <w:t>. University of Chicago Press.</w:t>
      </w:r>
    </w:p>
    <w:p w14:paraId="4CE9A329" w14:textId="70D132DE" w:rsidR="0048490E" w:rsidRDefault="0048490E" w:rsidP="00130499">
      <w:pPr>
        <w:pStyle w:val="font-claude-response-body"/>
        <w:ind w:left="180" w:hanging="180"/>
      </w:pPr>
      <w:proofErr w:type="spellStart"/>
      <w:r>
        <w:t>Tausanovitch</w:t>
      </w:r>
      <w:proofErr w:type="spellEnd"/>
      <w:r>
        <w:t xml:space="preserve">, C., &amp; Warshaw, C. (2014). Representation in municipal government. </w:t>
      </w:r>
      <w:r>
        <w:rPr>
          <w:rStyle w:val="Emphasis"/>
          <w:rFonts w:eastAsiaTheme="majorEastAsia"/>
        </w:rPr>
        <w:t>American Political Science Review</w:t>
      </w:r>
      <w:r>
        <w:t>, 108(3), 605–641.</w:t>
      </w:r>
    </w:p>
    <w:p w14:paraId="3A25355C" w14:textId="45D16C6B" w:rsidR="0048490E" w:rsidRDefault="0048490E" w:rsidP="00130499">
      <w:pPr>
        <w:pStyle w:val="font-claude-response-body"/>
        <w:ind w:left="180" w:hanging="180"/>
      </w:pPr>
      <w:r>
        <w:t xml:space="preserve">Caughey, D., &amp; Warshaw, C. (2016). The dynamics of state policy liberalism, 1936–2014. </w:t>
      </w:r>
      <w:r>
        <w:rPr>
          <w:rStyle w:val="Emphasis"/>
          <w:rFonts w:eastAsiaTheme="majorEastAsia"/>
        </w:rPr>
        <w:t>American Journal of Political Science</w:t>
      </w:r>
      <w:r>
        <w:t>, 60(4), 899–913.</w:t>
      </w:r>
    </w:p>
    <w:p w14:paraId="407CDF9E" w14:textId="2E420DA1" w:rsidR="0048490E" w:rsidRDefault="0048490E" w:rsidP="00130499">
      <w:pPr>
        <w:pStyle w:val="font-claude-response-body"/>
        <w:ind w:left="180" w:hanging="180"/>
      </w:pPr>
      <w:r>
        <w:t xml:space="preserve">Butler, D. M. (2012). </w:t>
      </w:r>
      <w:r>
        <w:rPr>
          <w:rStyle w:val="Emphasis"/>
          <w:rFonts w:eastAsiaTheme="majorEastAsia"/>
        </w:rPr>
        <w:t>Representing the advantaged: How politicians reinforce inequality</w:t>
      </w:r>
      <w:r>
        <w:t>. Cambridge University Press.</w:t>
      </w:r>
    </w:p>
    <w:p w14:paraId="119B7808" w14:textId="38F79EC8" w:rsidR="0048490E" w:rsidRDefault="0048490E" w:rsidP="00130499">
      <w:pPr>
        <w:pStyle w:val="font-claude-response-body"/>
        <w:ind w:left="180" w:hanging="180"/>
      </w:pPr>
      <w:r>
        <w:t xml:space="preserve">Frug, G. E., &amp; Barron, D. J. (2008). </w:t>
      </w:r>
      <w:r>
        <w:rPr>
          <w:rStyle w:val="Emphasis"/>
          <w:rFonts w:eastAsiaTheme="majorEastAsia"/>
        </w:rPr>
        <w:t>City bound: How states stifle urban innovation</w:t>
      </w:r>
      <w:r>
        <w:t>. Cornell University Press.</w:t>
      </w:r>
    </w:p>
    <w:p w14:paraId="14589743" w14:textId="77777777" w:rsidR="0048490E" w:rsidRPr="0048490E" w:rsidRDefault="0048490E" w:rsidP="0048490E">
      <w:pPr>
        <w:pStyle w:val="font-claude-response-body"/>
        <w:rPr>
          <w:b/>
          <w:bCs/>
          <w:i/>
          <w:iCs/>
        </w:rPr>
      </w:pPr>
      <w:r w:rsidRPr="0048490E">
        <w:rPr>
          <w:b/>
          <w:bCs/>
          <w:i/>
          <w:iCs/>
        </w:rPr>
        <w:t>Sustainability policy at the local level</w:t>
      </w:r>
    </w:p>
    <w:p w14:paraId="25AF9C57" w14:textId="2238EA7D" w:rsidR="0048490E" w:rsidRDefault="0048490E" w:rsidP="00130499">
      <w:pPr>
        <w:pStyle w:val="font-claude-response-body"/>
        <w:ind w:left="180" w:hanging="180"/>
      </w:pPr>
      <w:r>
        <w:t xml:space="preserve">Krause, R. M. (2011). Policy innovation, intergovernmental relations, and the adoption of climate protection initiatives by U.S. cities. </w:t>
      </w:r>
      <w:r>
        <w:rPr>
          <w:rStyle w:val="Emphasis"/>
          <w:rFonts w:eastAsiaTheme="majorEastAsia"/>
        </w:rPr>
        <w:t>Journal of Urban Affairs</w:t>
      </w:r>
      <w:r>
        <w:t>, 33(1), 45–60.</w:t>
      </w:r>
    </w:p>
    <w:p w14:paraId="5D0D7585" w14:textId="1D7B0A9D" w:rsidR="0048490E" w:rsidRDefault="0048490E" w:rsidP="00130499">
      <w:pPr>
        <w:pStyle w:val="font-claude-response-body"/>
        <w:ind w:left="180" w:hanging="180"/>
      </w:pPr>
      <w:r>
        <w:lastRenderedPageBreak/>
        <w:t xml:space="preserve">Kern, K., &amp; Alber, G. (2008). Governing climate change in cities: Modes of urban climate governance in multi-level systems. In </w:t>
      </w:r>
      <w:r>
        <w:rPr>
          <w:rStyle w:val="Emphasis"/>
          <w:rFonts w:eastAsiaTheme="majorEastAsia"/>
        </w:rPr>
        <w:t>Proceedings of the OECD Conference on Competitive Cities and Climate Change</w:t>
      </w:r>
      <w:r>
        <w:t>, Milan, Italy.</w:t>
      </w:r>
    </w:p>
    <w:p w14:paraId="686246D5" w14:textId="3A444F8F" w:rsidR="0048490E" w:rsidRDefault="0048490E" w:rsidP="00130499">
      <w:pPr>
        <w:pStyle w:val="font-claude-response-body"/>
        <w:ind w:left="180" w:hanging="180"/>
      </w:pPr>
      <w:r>
        <w:t xml:space="preserve">Bulkeley, H., &amp; </w:t>
      </w:r>
      <w:proofErr w:type="spellStart"/>
      <w:r>
        <w:t>Castán</w:t>
      </w:r>
      <w:proofErr w:type="spellEnd"/>
      <w:r>
        <w:t xml:space="preserve"> Broto, V. (2013). Government by experiment? Global cities and the governing of climate change. </w:t>
      </w:r>
      <w:r>
        <w:rPr>
          <w:rStyle w:val="Emphasis"/>
          <w:rFonts w:eastAsiaTheme="majorEastAsia"/>
        </w:rPr>
        <w:t>Transactions of the Institute of British Geographers</w:t>
      </w:r>
      <w:r>
        <w:t>, 38(3), 361–375.</w:t>
      </w:r>
    </w:p>
    <w:p w14:paraId="1D443937" w14:textId="29574FBC" w:rsidR="0048490E" w:rsidRDefault="0048490E" w:rsidP="00130499">
      <w:pPr>
        <w:pStyle w:val="font-claude-response-body"/>
        <w:ind w:left="180" w:hanging="180"/>
      </w:pPr>
      <w:r>
        <w:t>Hughes, S., &amp; Romero-</w:t>
      </w:r>
      <w:proofErr w:type="spellStart"/>
      <w:r>
        <w:t>Lankao</w:t>
      </w:r>
      <w:proofErr w:type="spellEnd"/>
      <w:r>
        <w:t xml:space="preserve">, P. (2014). Science and institution building in urban climate-change policymaking. </w:t>
      </w:r>
      <w:r>
        <w:rPr>
          <w:rStyle w:val="Emphasis"/>
          <w:rFonts w:eastAsiaTheme="majorEastAsia"/>
        </w:rPr>
        <w:t>Environmental Politics</w:t>
      </w:r>
      <w:r>
        <w:t xml:space="preserve">, 23(6), 1023–1042.  </w:t>
      </w:r>
    </w:p>
    <w:p w14:paraId="5D53B2AB" w14:textId="736FBBBB" w:rsidR="0048490E" w:rsidRDefault="0048490E" w:rsidP="00130499">
      <w:pPr>
        <w:pStyle w:val="font-claude-response-body"/>
        <w:ind w:left="180" w:hanging="180"/>
      </w:pPr>
      <w:proofErr w:type="spellStart"/>
      <w:r>
        <w:t>Cidell</w:t>
      </w:r>
      <w:proofErr w:type="spellEnd"/>
      <w:r>
        <w:t xml:space="preserve">, J. (2009). Building green: The emerging geography of LEED-certified buildings and professionals. </w:t>
      </w:r>
      <w:r>
        <w:rPr>
          <w:rStyle w:val="Emphasis"/>
          <w:rFonts w:eastAsiaTheme="majorEastAsia"/>
        </w:rPr>
        <w:t>The Professional Geographer</w:t>
      </w:r>
      <w:r>
        <w:t>, 61(2), 200–215.</w:t>
      </w:r>
    </w:p>
    <w:p w14:paraId="6EFA3318" w14:textId="26D98BB4" w:rsidR="0048490E" w:rsidRDefault="0048490E" w:rsidP="00130499">
      <w:pPr>
        <w:pStyle w:val="font-claude-response-body"/>
        <w:ind w:left="180" w:hanging="180"/>
      </w:pPr>
      <w:proofErr w:type="spellStart"/>
      <w:r>
        <w:t>Sintomer</w:t>
      </w:r>
      <w:proofErr w:type="spellEnd"/>
      <w:r>
        <w:t xml:space="preserve">, Y., Herzberg, C., &amp; </w:t>
      </w:r>
      <w:proofErr w:type="spellStart"/>
      <w:r>
        <w:t>Röcke</w:t>
      </w:r>
      <w:proofErr w:type="spellEnd"/>
      <w:r>
        <w:t xml:space="preserve">, A. (2016). </w:t>
      </w:r>
      <w:r>
        <w:rPr>
          <w:rStyle w:val="Emphasis"/>
          <w:rFonts w:eastAsiaTheme="majorEastAsia"/>
        </w:rPr>
        <w:t>Participatory budgeting in Europe: Democracy and public governance</w:t>
      </w:r>
      <w:r>
        <w:t>. Routledge.</w:t>
      </w:r>
    </w:p>
    <w:p w14:paraId="0F870BEB" w14:textId="2E7B4A96" w:rsidR="0048490E" w:rsidRDefault="0048490E" w:rsidP="00130499">
      <w:pPr>
        <w:pStyle w:val="font-claude-response-body"/>
        <w:ind w:left="180" w:hanging="180"/>
      </w:pPr>
      <w:r>
        <w:t xml:space="preserve">Stokes, L. C., &amp; Warshaw, C. (2017). Renewable energy policy design and framing influence public support in the United States. </w:t>
      </w:r>
      <w:r>
        <w:rPr>
          <w:rStyle w:val="Emphasis"/>
          <w:rFonts w:eastAsiaTheme="majorEastAsia"/>
        </w:rPr>
        <w:t>Nature Energy</w:t>
      </w:r>
      <w:r>
        <w:t>, 2(8), 17107.</w:t>
      </w:r>
    </w:p>
    <w:p w14:paraId="065980DA" w14:textId="77777777" w:rsidR="0048490E" w:rsidRDefault="0048490E" w:rsidP="0048490E">
      <w:pPr>
        <w:pStyle w:val="font-claude-response-body"/>
      </w:pPr>
    </w:p>
    <w:sectPr w:rsidR="0048490E">
      <w:footerReference w:type="even"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70F258" w14:textId="77777777" w:rsidR="00295349" w:rsidRDefault="00295349" w:rsidP="0048490E">
      <w:pPr>
        <w:spacing w:after="0" w:line="240" w:lineRule="auto"/>
      </w:pPr>
      <w:r>
        <w:separator/>
      </w:r>
    </w:p>
  </w:endnote>
  <w:endnote w:type="continuationSeparator" w:id="0">
    <w:p w14:paraId="6C3A50BC" w14:textId="77777777" w:rsidR="00295349" w:rsidRDefault="00295349" w:rsidP="004849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57548913"/>
      <w:docPartObj>
        <w:docPartGallery w:val="Page Numbers (Bottom of Page)"/>
        <w:docPartUnique/>
      </w:docPartObj>
    </w:sdtPr>
    <w:sdtContent>
      <w:p w14:paraId="3320F9C9" w14:textId="1DA8CA3A" w:rsidR="00311964" w:rsidRDefault="00311964" w:rsidP="008201E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2B98B47" w14:textId="77777777" w:rsidR="00311964" w:rsidRDefault="00311964" w:rsidP="0031196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rPr>
      <w:id w:val="-740402668"/>
      <w:docPartObj>
        <w:docPartGallery w:val="Page Numbers (Bottom of Page)"/>
        <w:docPartUnique/>
      </w:docPartObj>
    </w:sdtPr>
    <w:sdtContent>
      <w:p w14:paraId="468DA382" w14:textId="03B2775B" w:rsidR="00311964" w:rsidRPr="00311964" w:rsidRDefault="00311964" w:rsidP="008201E5">
        <w:pPr>
          <w:pStyle w:val="Footer"/>
          <w:framePr w:wrap="none" w:vAnchor="text" w:hAnchor="margin" w:xAlign="right" w:y="1"/>
          <w:rPr>
            <w:rStyle w:val="PageNumber"/>
            <w:rFonts w:ascii="Times New Roman" w:hAnsi="Times New Roman" w:cs="Times New Roman"/>
          </w:rPr>
        </w:pPr>
        <w:r w:rsidRPr="00311964">
          <w:rPr>
            <w:rStyle w:val="PageNumber"/>
            <w:rFonts w:ascii="Times New Roman" w:hAnsi="Times New Roman" w:cs="Times New Roman"/>
          </w:rPr>
          <w:fldChar w:fldCharType="begin"/>
        </w:r>
        <w:r w:rsidRPr="00311964">
          <w:rPr>
            <w:rStyle w:val="PageNumber"/>
            <w:rFonts w:ascii="Times New Roman" w:hAnsi="Times New Roman" w:cs="Times New Roman"/>
          </w:rPr>
          <w:instrText xml:space="preserve"> PAGE </w:instrText>
        </w:r>
        <w:r w:rsidRPr="00311964">
          <w:rPr>
            <w:rStyle w:val="PageNumber"/>
            <w:rFonts w:ascii="Times New Roman" w:hAnsi="Times New Roman" w:cs="Times New Roman"/>
          </w:rPr>
          <w:fldChar w:fldCharType="separate"/>
        </w:r>
        <w:r w:rsidRPr="00311964">
          <w:rPr>
            <w:rStyle w:val="PageNumber"/>
            <w:rFonts w:ascii="Times New Roman" w:hAnsi="Times New Roman" w:cs="Times New Roman"/>
            <w:noProof/>
          </w:rPr>
          <w:t>1</w:t>
        </w:r>
        <w:r w:rsidRPr="00311964">
          <w:rPr>
            <w:rStyle w:val="PageNumber"/>
            <w:rFonts w:ascii="Times New Roman" w:hAnsi="Times New Roman" w:cs="Times New Roman"/>
          </w:rPr>
          <w:fldChar w:fldCharType="end"/>
        </w:r>
      </w:p>
    </w:sdtContent>
  </w:sdt>
  <w:p w14:paraId="0A67AE12" w14:textId="77777777" w:rsidR="00311964" w:rsidRPr="00311964" w:rsidRDefault="00311964" w:rsidP="00311964">
    <w:pPr>
      <w:pStyle w:val="Footer"/>
      <w:ind w:right="360"/>
      <w:jc w:val="right"/>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3FFD43" w14:textId="77777777" w:rsidR="00295349" w:rsidRDefault="00295349" w:rsidP="0048490E">
      <w:pPr>
        <w:spacing w:after="0" w:line="240" w:lineRule="auto"/>
      </w:pPr>
      <w:r>
        <w:separator/>
      </w:r>
    </w:p>
  </w:footnote>
  <w:footnote w:type="continuationSeparator" w:id="0">
    <w:p w14:paraId="59A5167F" w14:textId="77777777" w:rsidR="00295349" w:rsidRDefault="00295349" w:rsidP="0048490E">
      <w:pPr>
        <w:spacing w:after="0" w:line="240" w:lineRule="auto"/>
      </w:pPr>
      <w:r>
        <w:continuationSeparator/>
      </w:r>
    </w:p>
  </w:footnote>
  <w:footnote w:id="1">
    <w:p w14:paraId="78685C06" w14:textId="5C76D75A" w:rsidR="0048490E" w:rsidRPr="00916E9A" w:rsidRDefault="0048490E" w:rsidP="0048490E">
      <w:pPr>
        <w:spacing w:line="240" w:lineRule="auto"/>
        <w:rPr>
          <w:rFonts w:ascii="Times New Roman" w:hAnsi="Times New Roman" w:cs="Times New Roman"/>
          <w:i/>
          <w:iCs/>
        </w:rPr>
      </w:pPr>
      <w:r w:rsidRPr="00916E9A">
        <w:rPr>
          <w:rStyle w:val="FootnoteReference"/>
        </w:rPr>
        <w:footnoteRef/>
      </w:r>
      <w:r w:rsidRPr="00916E9A">
        <w:t xml:space="preserve"> </w:t>
      </w:r>
      <w:r w:rsidRPr="00916E9A">
        <w:rPr>
          <w:rFonts w:ascii="Times New Roman" w:hAnsi="Times New Roman" w:cs="Times New Roman"/>
          <w:i/>
          <w:iCs/>
        </w:rPr>
        <w:t xml:space="preserve">This memo is a mix of my instructions and commentary [typically in italics or brackets], excerpts from my published work, and writing done by Claude, Feb 11, 2026. Prompt: I’d like to write a primer on how to study and conceptualize urban social innovations, understood as novel practices or policies aimed at solving a social or environmental problem that are new to a particular place. That means they don’t have to be new to the universe, just new to the place. The questions are: how is urban social innovation defined? What are examples of successful and failed urban social innovations? How to operationalize and measure urban social innovation at scale? Draw on papers I’ve written on the topic. Please also connect to my ideas about applying state-policy innovativeness to the city </w:t>
      </w:r>
      <w:proofErr w:type="gramStart"/>
      <w:r w:rsidRPr="00916E9A">
        <w:rPr>
          <w:rFonts w:ascii="Times New Roman" w:hAnsi="Times New Roman" w:cs="Times New Roman"/>
          <w:i/>
          <w:iCs/>
        </w:rPr>
        <w:t>level, and</w:t>
      </w:r>
      <w:proofErr w:type="gramEnd"/>
      <w:r w:rsidRPr="00916E9A">
        <w:rPr>
          <w:rFonts w:ascii="Times New Roman" w:hAnsi="Times New Roman" w:cs="Times New Roman"/>
          <w:i/>
          <w:iCs/>
        </w:rPr>
        <w:t xml:space="preserve"> include databases that cover policies that could be used as components of such urban social innovativeness.</w:t>
      </w:r>
    </w:p>
  </w:footnote>
  <w:footnote w:id="2">
    <w:p w14:paraId="00F9B14F" w14:textId="1AD9426B" w:rsidR="00916E9A" w:rsidRPr="00916E9A" w:rsidRDefault="00916E9A">
      <w:pPr>
        <w:pStyle w:val="FootnoteText"/>
        <w:rPr>
          <w:sz w:val="24"/>
          <w:szCs w:val="24"/>
        </w:rPr>
      </w:pPr>
      <w:r w:rsidRPr="00916E9A">
        <w:rPr>
          <w:rStyle w:val="FootnoteReference"/>
          <w:sz w:val="24"/>
          <w:szCs w:val="24"/>
        </w:rPr>
        <w:footnoteRef/>
      </w:r>
      <w:r w:rsidRPr="00916E9A">
        <w:rPr>
          <w:sz w:val="24"/>
          <w:szCs w:val="24"/>
        </w:rPr>
        <w:t xml:space="preserve"> </w:t>
      </w:r>
      <w:r w:rsidRPr="00916E9A">
        <w:rPr>
          <w:rFonts w:ascii="Times New Roman" w:hAnsi="Times New Roman" w:cs="Times New Roman"/>
          <w:i/>
          <w:iCs/>
          <w:sz w:val="24"/>
          <w:szCs w:val="24"/>
        </w:rPr>
        <w:t>Most of which I have not read, but relevant if political scientists are out target audience</w:t>
      </w:r>
      <w:r>
        <w:rPr>
          <w:rFonts w:ascii="Times New Roman" w:hAnsi="Times New Roman" w:cs="Times New Roman"/>
          <w:i/>
          <w:iCs/>
          <w:sz w:val="24"/>
          <w:szCs w:val="24"/>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5267B"/>
    <w:multiLevelType w:val="hybridMultilevel"/>
    <w:tmpl w:val="02409D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B97B58"/>
    <w:multiLevelType w:val="hybridMultilevel"/>
    <w:tmpl w:val="4D926C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2C3F9B"/>
    <w:multiLevelType w:val="hybridMultilevel"/>
    <w:tmpl w:val="D9A4F9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61C02FC"/>
    <w:multiLevelType w:val="hybridMultilevel"/>
    <w:tmpl w:val="5DE693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9937565"/>
    <w:multiLevelType w:val="hybridMultilevel"/>
    <w:tmpl w:val="05C0EC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A986425"/>
    <w:multiLevelType w:val="hybridMultilevel"/>
    <w:tmpl w:val="F2A40C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28765F2"/>
    <w:multiLevelType w:val="hybridMultilevel"/>
    <w:tmpl w:val="78E2E3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E683722"/>
    <w:multiLevelType w:val="hybridMultilevel"/>
    <w:tmpl w:val="AC2A6E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74421661">
    <w:abstractNumId w:val="4"/>
  </w:num>
  <w:num w:numId="2" w16cid:durableId="608008635">
    <w:abstractNumId w:val="5"/>
  </w:num>
  <w:num w:numId="3" w16cid:durableId="996418511">
    <w:abstractNumId w:val="6"/>
  </w:num>
  <w:num w:numId="4" w16cid:durableId="1011102567">
    <w:abstractNumId w:val="3"/>
  </w:num>
  <w:num w:numId="5" w16cid:durableId="1368868952">
    <w:abstractNumId w:val="1"/>
  </w:num>
  <w:num w:numId="6" w16cid:durableId="1618176520">
    <w:abstractNumId w:val="7"/>
  </w:num>
  <w:num w:numId="7" w16cid:durableId="1840923749">
    <w:abstractNumId w:val="0"/>
  </w:num>
  <w:num w:numId="8" w16cid:durableId="10075174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1B4E"/>
    <w:rsid w:val="00075BD6"/>
    <w:rsid w:val="000B48E8"/>
    <w:rsid w:val="00130499"/>
    <w:rsid w:val="00136110"/>
    <w:rsid w:val="00295349"/>
    <w:rsid w:val="00311964"/>
    <w:rsid w:val="0048490E"/>
    <w:rsid w:val="004A1B4E"/>
    <w:rsid w:val="004A3C65"/>
    <w:rsid w:val="004E0E34"/>
    <w:rsid w:val="004F5FF5"/>
    <w:rsid w:val="00531C0E"/>
    <w:rsid w:val="00630B10"/>
    <w:rsid w:val="00650404"/>
    <w:rsid w:val="0065046A"/>
    <w:rsid w:val="00694449"/>
    <w:rsid w:val="00696994"/>
    <w:rsid w:val="00714A71"/>
    <w:rsid w:val="0073156A"/>
    <w:rsid w:val="007462CB"/>
    <w:rsid w:val="00773F7A"/>
    <w:rsid w:val="0077524B"/>
    <w:rsid w:val="007C4E73"/>
    <w:rsid w:val="00856C88"/>
    <w:rsid w:val="00870E0C"/>
    <w:rsid w:val="008C34BF"/>
    <w:rsid w:val="00900DBE"/>
    <w:rsid w:val="009018E2"/>
    <w:rsid w:val="00916E9A"/>
    <w:rsid w:val="00B248B2"/>
    <w:rsid w:val="00B6091B"/>
    <w:rsid w:val="00B71DF3"/>
    <w:rsid w:val="00C54645"/>
    <w:rsid w:val="00CB46B7"/>
    <w:rsid w:val="00CF3B9B"/>
    <w:rsid w:val="00D0492F"/>
    <w:rsid w:val="00D83DF7"/>
    <w:rsid w:val="00D95BDE"/>
    <w:rsid w:val="00E63E66"/>
    <w:rsid w:val="00E84230"/>
    <w:rsid w:val="00F96620"/>
    <w:rsid w:val="00FA74C6"/>
    <w:rsid w:val="00FF5F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BB74BFE"/>
  <w15:chartTrackingRefBased/>
  <w15:docId w15:val="{43082CF6-9F5F-0B49-8612-09E8AD65EB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1B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A1B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1B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1B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1B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1B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1B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1B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1B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1B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A1B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1B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1B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1B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1B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1B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1B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1B4E"/>
    <w:rPr>
      <w:rFonts w:eastAsiaTheme="majorEastAsia" w:cstheme="majorBidi"/>
      <w:color w:val="272727" w:themeColor="text1" w:themeTint="D8"/>
    </w:rPr>
  </w:style>
  <w:style w:type="paragraph" w:styleId="Title">
    <w:name w:val="Title"/>
    <w:basedOn w:val="Normal"/>
    <w:next w:val="Normal"/>
    <w:link w:val="TitleChar"/>
    <w:uiPriority w:val="10"/>
    <w:qFormat/>
    <w:rsid w:val="004A1B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1B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1B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1B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1B4E"/>
    <w:pPr>
      <w:spacing w:before="160"/>
      <w:jc w:val="center"/>
    </w:pPr>
    <w:rPr>
      <w:i/>
      <w:iCs/>
      <w:color w:val="404040" w:themeColor="text1" w:themeTint="BF"/>
    </w:rPr>
  </w:style>
  <w:style w:type="character" w:customStyle="1" w:styleId="QuoteChar">
    <w:name w:val="Quote Char"/>
    <w:basedOn w:val="DefaultParagraphFont"/>
    <w:link w:val="Quote"/>
    <w:uiPriority w:val="29"/>
    <w:rsid w:val="004A1B4E"/>
    <w:rPr>
      <w:i/>
      <w:iCs/>
      <w:color w:val="404040" w:themeColor="text1" w:themeTint="BF"/>
    </w:rPr>
  </w:style>
  <w:style w:type="paragraph" w:styleId="ListParagraph">
    <w:name w:val="List Paragraph"/>
    <w:basedOn w:val="Normal"/>
    <w:uiPriority w:val="34"/>
    <w:qFormat/>
    <w:rsid w:val="004A1B4E"/>
    <w:pPr>
      <w:ind w:left="720"/>
      <w:contextualSpacing/>
    </w:pPr>
  </w:style>
  <w:style w:type="character" w:styleId="IntenseEmphasis">
    <w:name w:val="Intense Emphasis"/>
    <w:basedOn w:val="DefaultParagraphFont"/>
    <w:uiPriority w:val="21"/>
    <w:qFormat/>
    <w:rsid w:val="004A1B4E"/>
    <w:rPr>
      <w:i/>
      <w:iCs/>
      <w:color w:val="0F4761" w:themeColor="accent1" w:themeShade="BF"/>
    </w:rPr>
  </w:style>
  <w:style w:type="paragraph" w:styleId="IntenseQuote">
    <w:name w:val="Intense Quote"/>
    <w:basedOn w:val="Normal"/>
    <w:next w:val="Normal"/>
    <w:link w:val="IntenseQuoteChar"/>
    <w:uiPriority w:val="30"/>
    <w:qFormat/>
    <w:rsid w:val="004A1B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1B4E"/>
    <w:rPr>
      <w:i/>
      <w:iCs/>
      <w:color w:val="0F4761" w:themeColor="accent1" w:themeShade="BF"/>
    </w:rPr>
  </w:style>
  <w:style w:type="character" w:styleId="IntenseReference">
    <w:name w:val="Intense Reference"/>
    <w:basedOn w:val="DefaultParagraphFont"/>
    <w:uiPriority w:val="32"/>
    <w:qFormat/>
    <w:rsid w:val="004A1B4E"/>
    <w:rPr>
      <w:b/>
      <w:bCs/>
      <w:smallCaps/>
      <w:color w:val="0F4761" w:themeColor="accent1" w:themeShade="BF"/>
      <w:spacing w:val="5"/>
    </w:rPr>
  </w:style>
  <w:style w:type="paragraph" w:customStyle="1" w:styleId="font-claude-response-body">
    <w:name w:val="font-claude-response-body"/>
    <w:basedOn w:val="Normal"/>
    <w:rsid w:val="004E0E3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248B2"/>
    <w:rPr>
      <w:b/>
      <w:bCs/>
    </w:rPr>
  </w:style>
  <w:style w:type="character" w:styleId="Emphasis">
    <w:name w:val="Emphasis"/>
    <w:basedOn w:val="DefaultParagraphFont"/>
    <w:uiPriority w:val="20"/>
    <w:qFormat/>
    <w:rsid w:val="00B248B2"/>
    <w:rPr>
      <w:i/>
      <w:iCs/>
    </w:rPr>
  </w:style>
  <w:style w:type="character" w:styleId="Hyperlink">
    <w:name w:val="Hyperlink"/>
    <w:basedOn w:val="DefaultParagraphFont"/>
    <w:uiPriority w:val="99"/>
    <w:unhideWhenUsed/>
    <w:rsid w:val="00694449"/>
    <w:rPr>
      <w:color w:val="467886" w:themeColor="hyperlink"/>
      <w:u w:val="single"/>
    </w:rPr>
  </w:style>
  <w:style w:type="character" w:styleId="UnresolvedMention">
    <w:name w:val="Unresolved Mention"/>
    <w:basedOn w:val="DefaultParagraphFont"/>
    <w:uiPriority w:val="99"/>
    <w:semiHidden/>
    <w:unhideWhenUsed/>
    <w:rsid w:val="00694449"/>
    <w:rPr>
      <w:color w:val="605E5C"/>
      <w:shd w:val="clear" w:color="auto" w:fill="E1DFDD"/>
    </w:rPr>
  </w:style>
  <w:style w:type="character" w:styleId="FollowedHyperlink">
    <w:name w:val="FollowedHyperlink"/>
    <w:basedOn w:val="DefaultParagraphFont"/>
    <w:uiPriority w:val="99"/>
    <w:semiHidden/>
    <w:unhideWhenUsed/>
    <w:rsid w:val="0048490E"/>
    <w:rPr>
      <w:color w:val="96607D" w:themeColor="followedHyperlink"/>
      <w:u w:val="single"/>
    </w:rPr>
  </w:style>
  <w:style w:type="paragraph" w:styleId="FootnoteText">
    <w:name w:val="footnote text"/>
    <w:basedOn w:val="Normal"/>
    <w:link w:val="FootnoteTextChar"/>
    <w:uiPriority w:val="99"/>
    <w:semiHidden/>
    <w:unhideWhenUsed/>
    <w:rsid w:val="0048490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8490E"/>
    <w:rPr>
      <w:sz w:val="20"/>
      <w:szCs w:val="20"/>
    </w:rPr>
  </w:style>
  <w:style w:type="character" w:styleId="FootnoteReference">
    <w:name w:val="footnote reference"/>
    <w:basedOn w:val="DefaultParagraphFont"/>
    <w:uiPriority w:val="99"/>
    <w:semiHidden/>
    <w:unhideWhenUsed/>
    <w:rsid w:val="0048490E"/>
    <w:rPr>
      <w:vertAlign w:val="superscript"/>
    </w:rPr>
  </w:style>
  <w:style w:type="paragraph" w:styleId="Footer">
    <w:name w:val="footer"/>
    <w:basedOn w:val="Normal"/>
    <w:link w:val="FooterChar"/>
    <w:uiPriority w:val="99"/>
    <w:unhideWhenUsed/>
    <w:rsid w:val="00311964"/>
    <w:pPr>
      <w:tabs>
        <w:tab w:val="center" w:pos="4680"/>
        <w:tab w:val="right" w:pos="9360"/>
      </w:tabs>
      <w:spacing w:after="0" w:line="240" w:lineRule="auto"/>
    </w:pPr>
  </w:style>
  <w:style w:type="character" w:customStyle="1" w:styleId="FooterChar">
    <w:name w:val="Footer Char"/>
    <w:basedOn w:val="DefaultParagraphFont"/>
    <w:link w:val="Footer"/>
    <w:uiPriority w:val="99"/>
    <w:rsid w:val="00311964"/>
  </w:style>
  <w:style w:type="character" w:styleId="PageNumber">
    <w:name w:val="page number"/>
    <w:basedOn w:val="DefaultParagraphFont"/>
    <w:uiPriority w:val="99"/>
    <w:semiHidden/>
    <w:unhideWhenUsed/>
    <w:rsid w:val="00311964"/>
  </w:style>
  <w:style w:type="paragraph" w:styleId="Header">
    <w:name w:val="header"/>
    <w:basedOn w:val="Normal"/>
    <w:link w:val="HeaderChar"/>
    <w:uiPriority w:val="99"/>
    <w:unhideWhenUsed/>
    <w:rsid w:val="00311964"/>
    <w:pPr>
      <w:tabs>
        <w:tab w:val="center" w:pos="4680"/>
        <w:tab w:val="right" w:pos="9360"/>
      </w:tabs>
      <w:spacing w:after="0" w:line="240" w:lineRule="auto"/>
    </w:pPr>
  </w:style>
  <w:style w:type="character" w:customStyle="1" w:styleId="HeaderChar">
    <w:name w:val="Header Char"/>
    <w:basedOn w:val="DefaultParagraphFont"/>
    <w:link w:val="Header"/>
    <w:uiPriority w:val="99"/>
    <w:rsid w:val="003119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achelmkrause.com/publications/peer-reviewed"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doi.org/10.48558/PWBD-NN1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3CD8E5-907C-4F44-9E98-B0F7219CA8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12</Pages>
  <Words>4799</Words>
  <Characters>29275</Characters>
  <Application>Microsoft Office Word</Application>
  <DocSecurity>0</DocSecurity>
  <Lines>436</Lines>
  <Paragraphs>132</Paragraphs>
  <ScaleCrop>false</ScaleCrop>
  <Company/>
  <LinksUpToDate>false</LinksUpToDate>
  <CharactersWithSpaces>33942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BRANDTNER Christof</dc:creator>
  <cp:keywords/>
  <dc:description/>
  <cp:lastModifiedBy>Paxton, Fred</cp:lastModifiedBy>
  <cp:revision>37</cp:revision>
  <dcterms:created xsi:type="dcterms:W3CDTF">2026-02-10T21:52:00Z</dcterms:created>
  <dcterms:modified xsi:type="dcterms:W3CDTF">2026-02-17T10:38:00Z</dcterms:modified>
</cp:coreProperties>
</file>