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365B" w:rsidRDefault="00000000" w14:paraId="32E3AC12" w14:textId="77777777">
      <w:pPr>
        <w:spacing w:after="60"/>
        <w:jc w:val="center"/>
      </w:pPr>
      <w:bookmarkStart w:name="OLE_LINK1" w:id="0"/>
      <w:r>
        <w:rPr>
          <w:b/>
          <w:bCs/>
          <w:sz w:val="32"/>
          <w:szCs w:val="32"/>
        </w:rPr>
        <w:t>Workshop Report</w:t>
      </w:r>
    </w:p>
    <w:p w:rsidR="003A365B" w:rsidRDefault="00000000" w14:paraId="634CF665" w14:textId="77777777">
      <w:pPr>
        <w:spacing w:after="60"/>
        <w:jc w:val="center"/>
      </w:pPr>
      <w:r>
        <w:rPr>
          <w:b/>
          <w:bCs/>
          <w:sz w:val="26"/>
          <w:szCs w:val="26"/>
        </w:rPr>
        <w:t>Who Innovates, Wins? The Electoral Impact of Innovative Urban Policy</w:t>
      </w:r>
    </w:p>
    <w:p w:rsidR="003A365B" w:rsidRDefault="00000000" w14:paraId="1A9561F3" w14:textId="77777777">
      <w:pPr>
        <w:spacing w:after="60"/>
        <w:jc w:val="center"/>
      </w:pPr>
      <w:r>
        <w:rPr>
          <w:i/>
          <w:iCs/>
        </w:rPr>
        <w:t>British Academy Seed Funding</w:t>
      </w:r>
    </w:p>
    <w:p w:rsidR="003A365B" w:rsidRDefault="00000000" w14:paraId="6FDB7846" w14:textId="77777777">
      <w:pPr>
        <w:spacing w:after="300"/>
        <w:jc w:val="center"/>
      </w:pPr>
      <w:r>
        <w:rPr>
          <w:sz w:val="20"/>
          <w:szCs w:val="20"/>
        </w:rPr>
        <w:t>Fred Paxton (University of Glasgow) &amp; Christof Brandtner (EM Lyon Business School)</w:t>
      </w:r>
    </w:p>
    <w:p w:rsidR="00124248" w:rsidRDefault="00124248" w14:paraId="1FA243A5" w14:textId="77777777">
      <w:pPr>
        <w:pStyle w:val="Heading1"/>
      </w:pPr>
    </w:p>
    <w:p w:rsidR="003A365B" w:rsidRDefault="00000000" w14:paraId="51A1FCD4" w14:textId="43F4C123">
      <w:pPr>
        <w:pStyle w:val="Heading1"/>
      </w:pPr>
      <w:r>
        <w:t>Overview</w:t>
      </w:r>
    </w:p>
    <w:p w:rsidR="003A365B" w:rsidP="5B52C434" w:rsidRDefault="00000000" w14:paraId="4E6D4454" w14:textId="5C44C7C6">
      <w:pPr>
        <w:pStyle w:val="Normal"/>
        <w:spacing w:after="160" w:line="300" w:lineRule="auto"/>
      </w:pPr>
      <w:r w:rsidR="5B52C434">
        <w:rPr/>
        <w:t xml:space="preserve">On 27 February 2026, we held a full-day workshop at Nuffield College, University of Oxford, to advance the research agenda proposed in our seed funding application. The workshop brought together the two PIs with Jane Gingrich (DSPI, Oxford), who contributes expertise on policy feedback and comparative political economy, and Neil Lee (London School of Economics), who brings expertise on the urban geography of innovation It also included doctoral students Francesco Fioritto, Max Herbertson, Sara Hueber, and Steffen Redeker (from Oxford and the LSE)5, who work in the fields of economic geography and social policy. This report summarises how the workshop refined our </w:t>
      </w:r>
      <w:r w:rsidR="5B52C434">
        <w:rPr/>
        <w:t>initial</w:t>
      </w:r>
      <w:r w:rsidR="5B52C434">
        <w:rPr/>
        <w:t xml:space="preserve"> proposal and outlines the concrete next steps agreed.</w:t>
      </w:r>
    </w:p>
    <w:p w:rsidR="00124248" w:rsidRDefault="00124248" w14:paraId="246232D0" w14:textId="77777777">
      <w:pPr>
        <w:spacing w:after="160" w:line="300" w:lineRule="auto"/>
      </w:pPr>
    </w:p>
    <w:p w:rsidR="003A365B" w:rsidRDefault="00000000" w14:paraId="50E33942" w14:textId="77777777">
      <w:pPr>
        <w:pStyle w:val="Heading1"/>
      </w:pPr>
      <w:r>
        <w:t>From Proposal to Research Design</w:t>
      </w:r>
    </w:p>
    <w:p w:rsidR="003A365B" w:rsidRDefault="00000000" w14:paraId="381884A6" w14:textId="77777777">
      <w:pPr>
        <w:spacing w:after="160" w:line="300" w:lineRule="auto"/>
      </w:pPr>
      <w:r>
        <w:t>Our original application posed two broad questions: whether innovative local policies generate a measurable electoral advantage (or penalty) for incumbents, and under what conditions local characteristics such as civic engagement and governance structures shape these political consequences. The application outlined three possible scenarios—an electoral dividend, a null effect washed out by national trends, or a backlash—and proposed a workshop to identify empirical contexts and data with which to test these expectations.</w:t>
      </w:r>
    </w:p>
    <w:p w:rsidR="00C8565F" w:rsidRDefault="00000000" w14:paraId="2D559620" w14:textId="2D7705FB">
      <w:pPr>
        <w:spacing w:after="160" w:line="300" w:lineRule="auto"/>
      </w:pPr>
      <w:r>
        <w:t xml:space="preserve">The workshop achieved this aim and went further in several </w:t>
      </w:r>
      <w:r w:rsidR="00C8565F">
        <w:t xml:space="preserve">important </w:t>
      </w:r>
      <w:r>
        <w:t xml:space="preserve">respects. </w:t>
      </w:r>
    </w:p>
    <w:p w:rsidR="003A365B" w:rsidRDefault="00000000" w14:paraId="1FA5AED2" w14:textId="6A2708A6">
      <w:pPr>
        <w:spacing w:after="160" w:line="300" w:lineRule="auto"/>
      </w:pPr>
      <w:r>
        <w:t xml:space="preserve">First, drawing on preparatory memos circulated in advance by Brandtner, Gingrich, </w:t>
      </w:r>
      <w:r w:rsidR="00124248">
        <w:t xml:space="preserve">Lee, </w:t>
      </w:r>
      <w:r>
        <w:t>and Paxton, the group arrived at a sharper definition of urban social innovation centred on administrative policy adoption: the uptake by city governments of practices and ordinances addressing climate and environmental challenges that are new to the place</w:t>
      </w:r>
      <w:r w:rsidR="00633A15">
        <w:t xml:space="preserve">, </w:t>
      </w:r>
      <w:r>
        <w:t>if not to the world. This definition excludes purely technological innovation and distributed organisational practices (such as private-sector green building), though the group agreed that distributed innovation remains important as a moderating factor. The narrower focus on government-adopted policies makes the treatment more tractable for causal identification.</w:t>
      </w:r>
    </w:p>
    <w:p w:rsidR="003A365B" w:rsidRDefault="00000000" w14:paraId="323071F3" w14:textId="77777777">
      <w:pPr>
        <w:spacing w:after="160" w:line="300" w:lineRule="auto"/>
      </w:pPr>
      <w:r>
        <w:t xml:space="preserve">Second, the group substantially refined the concept of political backlash. Drawing on Gingrich’s framework, we distinguished three mechanisms through which urban innovation might generate opposition: distributional costs, where policies impose direct economic burdens on identifiable groups (e.g., car drivers facing congestion charges); governance costs, where policies shift decision-making authority in ways that feel undemocratic or externally imposed; and identity costs, where policies signal priorities that conflict with </w:t>
      </w:r>
      <w:r>
        <w:lastRenderedPageBreak/>
        <w:t>residents’ self-understanding or local norms. The workshop discussion suggested that for the purposes of a first empirical study, policies imposing distributional costs offer the most tractable setting, since the affected populations are identifiable and the electoral channel of backlash is most direct.</w:t>
      </w:r>
    </w:p>
    <w:p w:rsidR="003A365B" w:rsidRDefault="00000000" w14:paraId="079051F2" w14:textId="021C03C0">
      <w:pPr>
        <w:spacing w:after="160" w:line="300" w:lineRule="auto"/>
      </w:pPr>
      <w:r>
        <w:t xml:space="preserve">Third, the workshop narrowed the substantive domain to climate-related transport policies, particularly low-emission zones, congestion charges, and related car restrictions. Several considerations </w:t>
      </w:r>
      <w:r w:rsidR="00633A15">
        <w:t>informed</w:t>
      </w:r>
      <w:r>
        <w:t xml:space="preserve"> this choice. These policies are adopted by a wide range of cities, not only large metropolises, which expands the viable sample. They are highly visible to residents, imposing tangible daily costs on car users, </w:t>
      </w:r>
      <w:r w:rsidR="00633A15">
        <w:t>making</w:t>
      </w:r>
      <w:r>
        <w:t xml:space="preserve"> political reactions more likely to be observable. Cities generally have meaningful autonomy over these policies, unlike social welfare domains that are more heavily constrained by national or state-level legislation. And there is already documented evidence of political controversy in multiple countries, from failed referenda on congestion pricing in Edinburgh and Manchester to the backlash against low-traffic neighbourhoods in Oxford and clean air zones across the UK.</w:t>
      </w:r>
    </w:p>
    <w:p w:rsidR="00124248" w:rsidRDefault="00124248" w14:paraId="5E2C52FF" w14:textId="77777777">
      <w:pPr>
        <w:spacing w:after="160" w:line="300" w:lineRule="auto"/>
      </w:pPr>
    </w:p>
    <w:p w:rsidR="003A365B" w:rsidRDefault="00000000" w14:paraId="46A45C26" w14:textId="77777777">
      <w:pPr>
        <w:pStyle w:val="Heading1"/>
      </w:pPr>
      <w:r>
        <w:t>Research Design</w:t>
      </w:r>
    </w:p>
    <w:p w:rsidR="003A365B" w:rsidRDefault="00000000" w14:paraId="2A6FF03A" w14:textId="2D883737">
      <w:pPr>
        <w:spacing w:after="160" w:line="300" w:lineRule="auto"/>
      </w:pPr>
      <w:r>
        <w:t>The group converged on a difference-in-differences framework as the most promising design</w:t>
      </w:r>
      <w:r w:rsidR="00124248">
        <w:t xml:space="preserve"> </w:t>
      </w:r>
      <w:r w:rsidR="00633A15">
        <w:t>for</w:t>
      </w:r>
      <w:r w:rsidR="00124248">
        <w:t xml:space="preserve"> measur</w:t>
      </w:r>
      <w:r w:rsidR="00633A15">
        <w:t xml:space="preserve">ing </w:t>
      </w:r>
      <w:r w:rsidR="00124248">
        <w:t>the backlash generated by urban social innovation</w:t>
      </w:r>
      <w:r>
        <w:t>. The treatment is the adoption of a low-emission zone, congestion charge, or comparable traffic restriction by a city. The primary outcome is electoral: changes in incumbent vote share, the entry of populist or far-right challengers, and shifts in the partisan composition of the local council following policy adoption, relative to comparable cities that did not adopt such a policy or adopted one at a different time.</w:t>
      </w:r>
    </w:p>
    <w:p w:rsidR="003A365B" w:rsidRDefault="00000000" w14:paraId="235FB36B" w14:textId="598A9CCC">
      <w:pPr>
        <w:spacing w:after="160" w:line="300" w:lineRule="auto"/>
      </w:pPr>
      <w:r>
        <w:t xml:space="preserve">A significant advance from the workshop </w:t>
      </w:r>
      <w:r w:rsidR="00633A15">
        <w:t>was</w:t>
      </w:r>
      <w:r>
        <w:t xml:space="preserve"> the identification of a specific data source for the treatment variable. The Urban Access Regulations in Europe database catalogues all low-emission zones, congestion charges, and urban vehicle access restrictions across European cities from 2000 to the present, including information on whether electoral districts fall within the regulated zone. This dataset would enable a within-city analysis of differential exposure, comparing voting patterns in affected versus unaffected areas, as well as a cross-city comparison of adopting and non-adopting municipalities.</w:t>
      </w:r>
    </w:p>
    <w:p w:rsidR="003A365B" w:rsidRDefault="00000000" w14:paraId="2972DB40" w14:textId="35AE3266">
      <w:pPr>
        <w:spacing w:after="160" w:line="300" w:lineRule="auto"/>
      </w:pPr>
      <w:r>
        <w:t>The workshop discussion led the group to pursue a European-focused first paper instead, for two reasons. The European low-emission zone data provide precise treatment timing and geographic boundaries in a setting where the policies are already politically salient, and the institutional variation across European cities—directly elected mayors versus council-appointed leaders, fragmented versus consolidated metropolitan governance, variation in local autonomy—allows for richer tests of how institutional context moderates backlash. The US case remains a viable second stage, as outlined in the original memos.</w:t>
      </w:r>
    </w:p>
    <w:p w:rsidR="003A365B" w:rsidRDefault="00000000" w14:paraId="3651F5C0" w14:textId="77777777">
      <w:pPr>
        <w:spacing w:after="160" w:line="300" w:lineRule="auto"/>
      </w:pPr>
      <w:r>
        <w:t xml:space="preserve">The workshop also identified several moderating factors to be tested within this framework. These include the governance structure of the city (manager versus mayor systems, or directly elected versus council-appointed leaders), the density of civic organisations that may </w:t>
      </w:r>
      <w:r>
        <w:lastRenderedPageBreak/>
        <w:t>buffer or amplify political reactions, the degree of local government fragmentation and opportunities for venue shopping, and the temporal dynamics of backlash, including whether early adopters face less opposition than later ones and whether initial backlash fades or intensifies over time. Gingrich’s two-by-two framework, crossing institutional resources for opposition (high or low) with organisational resources of potential resistors (high or low), provides a useful theoretical scaffolding for these moderator analyses.</w:t>
      </w:r>
    </w:p>
    <w:p w:rsidR="00124248" w:rsidRDefault="00124248" w14:paraId="71FD7EA5" w14:textId="77777777">
      <w:pPr>
        <w:spacing w:after="160" w:line="300" w:lineRule="auto"/>
      </w:pPr>
    </w:p>
    <w:p w:rsidR="003A365B" w:rsidRDefault="00000000" w14:paraId="014D95E1" w14:textId="77777777">
      <w:pPr>
        <w:pStyle w:val="Heading1"/>
      </w:pPr>
      <w:r>
        <w:t>Theoretical Contributions</w:t>
      </w:r>
    </w:p>
    <w:p w:rsidR="003A365B" w:rsidRDefault="00000000" w14:paraId="187B8506" w14:textId="083E1F22">
      <w:pPr>
        <w:spacing w:after="160" w:line="300" w:lineRule="auto"/>
      </w:pPr>
      <w:r>
        <w:t xml:space="preserve">The workshop surfaced two recurring theoretical tensions that will structure the eventual </w:t>
      </w:r>
      <w:proofErr w:type="gramStart"/>
      <w:r>
        <w:t>paper</w:t>
      </w:r>
      <w:r w:rsidR="00124248">
        <w:t>, and</w:t>
      </w:r>
      <w:proofErr w:type="gramEnd"/>
      <w:r w:rsidR="00124248">
        <w:t xml:space="preserve"> will lay the foundations for a separate </w:t>
      </w:r>
      <w:r w:rsidR="00C8565F">
        <w:t xml:space="preserve">review </w:t>
      </w:r>
      <w:r w:rsidR="00124248">
        <w:t>article</w:t>
      </w:r>
      <w:r w:rsidR="00C8565F">
        <w:t xml:space="preserve"> on local policy feedback</w:t>
      </w:r>
      <w:r>
        <w:t>. The first</w:t>
      </w:r>
      <w:r w:rsidR="00124248">
        <w:t xml:space="preserve"> tension</w:t>
      </w:r>
      <w:r>
        <w:t xml:space="preserve">, introduced by Lee and developed through discussion with Brandtner, is between complementary capacity building and institutional sclerosis. Brandtner’s prior work suggests that cities which adopt sustainability policies early build organisational infrastructure that enables future innovation. But as Lee emphasised, drawing on Olson’s theory of collective action, the same institutional investments can produce vested interests that resist subsequent waves of policy change—an </w:t>
      </w:r>
      <w:proofErr w:type="spellStart"/>
      <w:r w:rsidRPr="00124248">
        <w:rPr>
          <w:i/>
          <w:iCs/>
        </w:rPr>
        <w:t>Olsonian</w:t>
      </w:r>
      <w:proofErr w:type="spellEnd"/>
      <w:r w:rsidRPr="00124248">
        <w:rPr>
          <w:i/>
          <w:iCs/>
        </w:rPr>
        <w:t xml:space="preserve"> dynamic </w:t>
      </w:r>
      <w:r>
        <w:t>in which the agents of one round of innovation become obstacles to the next. Whether past innovativeness predicts openness to future innovation or entrenched resistance is an empirical question that the proposed design can address.</w:t>
      </w:r>
    </w:p>
    <w:p w:rsidR="003A365B" w:rsidRDefault="00000000" w14:paraId="55AAF811" w14:textId="77777777">
      <w:pPr>
        <w:spacing w:after="160" w:line="300" w:lineRule="auto"/>
      </w:pPr>
      <w:r>
        <w:t xml:space="preserve">The second tension concerns the relationship between global policy diffusion and local democratic legitimacy. Cities often adopt sustainability policies because they are embedded in transnational professional networks (ICLEI, C40, the Covenant of Mayors) that promote particular solutions. When policies are perceived as imported from global networks rather than generated through local democratic deliberation, they may be more vulnerable to populist mobilisation, even if they are substantively beneficial. The growing capacity of far-right parties to learn from each other across national boundaries—identifying local grievances around climate policies as mobilisation opportunities—adds a further layer to this dynamic. The design allows us to test whether the timing of adoption relative to the politicisation of climate policy by populist </w:t>
      </w:r>
      <w:proofErr w:type="gramStart"/>
      <w:r>
        <w:t>parties</w:t>
      </w:r>
      <w:proofErr w:type="gramEnd"/>
      <w:r>
        <w:t xml:space="preserve"> conditions the severity of electoral backlash.</w:t>
      </w:r>
    </w:p>
    <w:p w:rsidR="00C8565F" w:rsidRDefault="00C8565F" w14:paraId="576F6250" w14:textId="77777777">
      <w:pPr>
        <w:spacing w:after="160" w:line="300" w:lineRule="auto"/>
      </w:pPr>
    </w:p>
    <w:p w:rsidR="003A365B" w:rsidRDefault="00000000" w14:paraId="1AFB950F" w14:textId="77777777">
      <w:pPr>
        <w:pStyle w:val="Heading1"/>
      </w:pPr>
      <w:bookmarkStart w:name="OLE_LINK2" w:id="1"/>
      <w:r>
        <w:t>Next Steps</w:t>
      </w:r>
    </w:p>
    <w:p w:rsidR="00C8565F" w:rsidRDefault="00000000" w14:paraId="62319E9B" w14:textId="77777777">
      <w:pPr>
        <w:spacing w:after="160" w:line="300" w:lineRule="auto"/>
      </w:pPr>
      <w:r>
        <w:t xml:space="preserve">The workshop concluded with a set of concrete action items. </w:t>
      </w:r>
    </w:p>
    <w:p w:rsidR="009D6D7A" w:rsidP="009D6D7A" w:rsidRDefault="009D6D7A" w14:paraId="4CDFEB9E" w14:textId="77777777">
      <w:pPr>
        <w:pStyle w:val="ListParagraph"/>
        <w:numPr>
          <w:ilvl w:val="0"/>
          <w:numId w:val="2"/>
        </w:numPr>
        <w:spacing w:after="160" w:line="300" w:lineRule="auto"/>
      </w:pPr>
      <w:r>
        <w:t>Paxton and Brandtner will contact the maintainers of the Urban Access Regulations database to assess data quality and negotiate access for research purposes.</w:t>
      </w:r>
    </w:p>
    <w:p w:rsidR="00C8565F" w:rsidP="009D6D7A" w:rsidRDefault="00000000" w14:paraId="41BBD27F" w14:textId="075B1922">
      <w:pPr>
        <w:pStyle w:val="ListParagraph"/>
        <w:numPr>
          <w:ilvl w:val="0"/>
          <w:numId w:val="2"/>
        </w:numPr>
        <w:spacing w:after="160" w:line="300" w:lineRule="auto"/>
      </w:pPr>
      <w:r>
        <w:t>The PIs</w:t>
      </w:r>
      <w:r w:rsidR="00C8565F">
        <w:t xml:space="preserve"> </w:t>
      </w:r>
      <w:r>
        <w:t>will draft a two-to-</w:t>
      </w:r>
      <w:proofErr w:type="gramStart"/>
      <w:r>
        <w:t>three page</w:t>
      </w:r>
      <w:proofErr w:type="gramEnd"/>
      <w:r>
        <w:t xml:space="preserve"> framing document articulating the research problem, the proposed approach, and the contribution, suitable for circulation to potential collaborators and as the basis for a larger funding application. </w:t>
      </w:r>
    </w:p>
    <w:p w:rsidR="009D6D7A" w:rsidP="009D6D7A" w:rsidRDefault="009D6D7A" w14:paraId="73F22C74" w14:textId="77777777">
      <w:pPr>
        <w:pStyle w:val="ListParagraph"/>
        <w:numPr>
          <w:ilvl w:val="0"/>
          <w:numId w:val="2"/>
        </w:numPr>
        <w:spacing w:after="160" w:line="300" w:lineRule="auto"/>
      </w:pPr>
      <w:r>
        <w:lastRenderedPageBreak/>
        <w:t xml:space="preserve">Gingrich agreed to contribute a short theoretical note on local feedback effects from a political science perspective, to be incorporated into the framing paper. </w:t>
      </w:r>
    </w:p>
    <w:p w:rsidR="009D6D7A" w:rsidP="00C8565F" w:rsidRDefault="00000000" w14:paraId="345EB7E2" w14:textId="4D74AE94">
      <w:pPr>
        <w:pStyle w:val="ListParagraph"/>
        <w:numPr>
          <w:ilvl w:val="0"/>
          <w:numId w:val="2"/>
        </w:numPr>
        <w:spacing w:after="160" w:line="300" w:lineRule="auto"/>
      </w:pPr>
      <w:r>
        <w:t>Paxton will</w:t>
      </w:r>
      <w:r w:rsidR="00C8565F">
        <w:t xml:space="preserve"> recruit a research assistant, </w:t>
      </w:r>
      <w:r w:rsidR="00C8565F">
        <w:t xml:space="preserve">funded through this grant, </w:t>
      </w:r>
      <w:r w:rsidRPr="009D6D7A" w:rsidR="009D6D7A">
        <w:t>to</w:t>
      </w:r>
      <w:r w:rsidR="009D6D7A">
        <w:t xml:space="preserve"> support with the proposed review article on local feedback effects, as well as</w:t>
      </w:r>
      <w:r w:rsidRPr="009D6D7A" w:rsidR="009D6D7A">
        <w:t xml:space="preserve"> undertake data scoping and initial data assembly, beginning with European municipal election data in countries where access is most feasible</w:t>
      </w:r>
      <w:r w:rsidR="009D6D7A">
        <w:t xml:space="preserve"> (e.g.</w:t>
      </w:r>
      <w:r w:rsidRPr="009D6D7A" w:rsidR="009D6D7A">
        <w:t xml:space="preserve"> UK, France, Italy, and Germany</w:t>
      </w:r>
      <w:r w:rsidR="009D6D7A">
        <w:t>).</w:t>
      </w:r>
    </w:p>
    <w:p w:rsidR="00C8565F" w:rsidP="00C8565F" w:rsidRDefault="00000000" w14:paraId="76456F2C" w14:noSpellErr="1" w14:textId="15E5CFCF">
      <w:pPr>
        <w:pStyle w:val="ListParagraph"/>
        <w:numPr>
          <w:ilvl w:val="0"/>
          <w:numId w:val="2"/>
        </w:numPr>
        <w:spacing w:after="160" w:line="300" w:lineRule="auto"/>
        <w:rPr/>
      </w:pPr>
      <w:r w:rsidR="5B52C434">
        <w:rPr/>
        <w:t xml:space="preserve">The </w:t>
      </w:r>
      <w:r w:rsidR="5B52C434">
        <w:rPr/>
        <w:t>PIs</w:t>
      </w:r>
      <w:r w:rsidR="5B52C434">
        <w:rPr/>
        <w:t xml:space="preserve"> will reconvene to assess data feasibility </w:t>
      </w:r>
      <w:bookmarkEnd w:id="1"/>
      <w:r w:rsidR="5B52C434">
        <w:rPr/>
        <w:t>within three months to assess data feasibility and decide whether the first empirical paper should focus on a single country or pursue a comparative European design from the outset.</w:t>
      </w:r>
    </w:p>
    <w:p w:rsidR="5B52C434" w:rsidP="5B52C434" w:rsidRDefault="5B52C434" w14:paraId="2F3F29A5" w14:textId="6759865C">
      <w:pPr>
        <w:pStyle w:val="Heading1"/>
        <w:suppressLineNumbers w:val="0"/>
        <w:bidi w:val="0"/>
        <w:spacing w:before="240" w:beforeAutospacing="off" w:after="120" w:afterAutospacing="off" w:line="259" w:lineRule="auto"/>
        <w:ind w:left="0" w:right="0"/>
        <w:jc w:val="left"/>
      </w:pPr>
      <w:r w:rsidR="5B52C434">
        <w:rPr/>
        <w:t>Conclusion</w:t>
      </w:r>
    </w:p>
    <w:p w:rsidR="003A365B" w:rsidRDefault="00000000" w14:paraId="52235CF9" w14:textId="526A6356">
      <w:pPr>
        <w:spacing w:after="160" w:line="300" w:lineRule="auto"/>
      </w:pPr>
      <w:r w:rsidR="5B52C434">
        <w:rPr/>
        <w:t xml:space="preserve">The workshop exceeded the </w:t>
      </w:r>
      <w:r w:rsidR="5B52C434">
        <w:rPr/>
        <w:t>objectives</w:t>
      </w:r>
      <w:r w:rsidR="5B52C434">
        <w:rPr/>
        <w:t xml:space="preserve"> set out in the original application. We proposed to use the meeting to </w:t>
      </w:r>
      <w:r w:rsidR="5B52C434">
        <w:rPr/>
        <w:t>identify</w:t>
      </w:r>
      <w:r w:rsidR="5B52C434">
        <w:rPr/>
        <w:t xml:space="preserve"> empirical contexts and data sources for testing the relationship between urban policy innovation and electoral outcomes. The meeting not only achieved this but produced a </w:t>
      </w:r>
      <w:r w:rsidR="5B52C434">
        <w:rPr/>
        <w:t>substantially more</w:t>
      </w:r>
      <w:r w:rsidR="5B52C434">
        <w:rPr/>
        <w:t xml:space="preserve"> refined conceptual framework, a concrete research design, and </w:t>
      </w:r>
      <w:r w:rsidR="5B52C434">
        <w:rPr/>
        <w:t>identified</w:t>
      </w:r>
      <w:r w:rsidR="5B52C434">
        <w:rPr/>
        <w:t xml:space="preserve"> </w:t>
      </w:r>
      <w:r w:rsidR="5B52C434">
        <w:rPr/>
        <w:t xml:space="preserve">a specific dataset around which to organise the empirical work. The interdisciplinary exchange between Brandtner’s organisational perspective on urban innovation, Paxton’s expertise in local electoral politics and far-right mobilisation, Gingrich’s theoretical framework on policy feedback and institutional resources, and Lee’s knowledge of innovation ecosystems and urban economic geography proved productive in ways that would not have been possible without the in-person collaboration that this funding </w:t>
      </w:r>
      <w:commentRangeStart w:id="588220279"/>
      <w:r w:rsidR="5B52C434">
        <w:rPr/>
        <w:t>enabled</w:t>
      </w:r>
      <w:commentRangeEnd w:id="588220279"/>
      <w:r>
        <w:rPr>
          <w:rStyle w:val="CommentReference"/>
        </w:rPr>
        <w:commentReference w:id="588220279"/>
      </w:r>
      <w:r w:rsidR="5B52C434">
        <w:rPr/>
        <w:t>.</w:t>
      </w:r>
      <w:bookmarkEnd w:id="0"/>
    </w:p>
    <w:sectPr w:rsidR="003A365B">
      <w:headerReference w:type="default" r:id="rId7"/>
      <w:footerReference w:type="default" r:id="rId8"/>
      <w:pgSz w:w="11906" w:h="16838"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B" w:author="Christof Brandtner" w:date="2026-03-09T19:29:04" w:id="588220279">
    <w:p xmlns:w14="http://schemas.microsoft.com/office/word/2010/wordml" xmlns:w="http://schemas.openxmlformats.org/wordprocessingml/2006/main" w:rsidR="263C0FAB" w:rsidRDefault="137CC659" w14:paraId="156DD5F0" w14:textId="7CB6BED4">
      <w:pPr>
        <w:pStyle w:val="CommentText"/>
      </w:pPr>
      <w:r>
        <w:rPr>
          <w:rStyle w:val="CommentReference"/>
        </w:rPr>
        <w:annotationRef/>
      </w:r>
      <w:r w:rsidRPr="517C1E59" w:rsidR="30B2345A">
        <w:t>Should we add 1 line about how we will now consider further funding options to pay for this work and would appreciate support from the BA if they agree that this has promise?</w:t>
      </w:r>
    </w:p>
  </w:comment>
</w:comments>
</file>

<file path=word/commentsExtended.xml><?xml version="1.0" encoding="utf-8"?>
<w15:commentsEx xmlns:mc="http://schemas.openxmlformats.org/markup-compatibility/2006" xmlns:w15="http://schemas.microsoft.com/office/word/2012/wordml" mc:Ignorable="w15">
  <w15:commentEx w15:done="0" w15:paraId="156DD5F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7A5ED1" w16cex:dateUtc="2026-03-09T18:29:04.039Z"/>
</w16cex:commentsExtensible>
</file>

<file path=word/commentsIds.xml><?xml version="1.0" encoding="utf-8"?>
<w16cid:commentsIds xmlns:mc="http://schemas.openxmlformats.org/markup-compatibility/2006" xmlns:w16cid="http://schemas.microsoft.com/office/word/2016/wordml/cid" mc:Ignorable="w16cid">
  <w16cid:commentId w16cid:paraId="156DD5F0" w16cid:durableId="307A5E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68BD" w:rsidRDefault="008F68BD" w14:paraId="1C31CEC6" w14:textId="77777777">
      <w:r>
        <w:separator/>
      </w:r>
    </w:p>
  </w:endnote>
  <w:endnote w:type="continuationSeparator" w:id="0">
    <w:p w:rsidR="008F68BD" w:rsidRDefault="008F68BD" w14:paraId="60CB25E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65B" w:rsidP="5B52C434" w:rsidRDefault="00000000" w14:paraId="37BB651E" w14:textId="647D72A5">
    <w:pPr>
      <w:pBdr>
        <w:top w:val="single" w:color="CCCCCC" w:sz="4" w:space="4"/>
      </w:pBdr>
      <w:tabs>
        <w:tab w:val="right" w:pos="9026"/>
      </w:tabs>
    </w:pPr>
    <w:r w:rsidRPr="5B52C434" w:rsidR="5B52C434">
      <w:rPr>
        <w:color w:val="666666"/>
        <w:sz w:val="18"/>
        <w:szCs w:val="18"/>
      </w:rPr>
      <w:t xml:space="preserve">Paxton &amp; </w:t>
    </w:r>
    <w:r w:rsidRPr="5B52C434" w:rsidR="5B52C434">
      <w:rPr>
        <w:color w:val="666666"/>
        <w:sz w:val="18"/>
        <w:szCs w:val="18"/>
      </w:rPr>
      <w:t>Brandtner</w:t>
    </w:r>
    <w:r>
      <w:tab/>
    </w:r>
    <w:r w:rsidRPr="5B52C434" w:rsidR="5B52C434">
      <w:rPr>
        <w:color w:val="666666"/>
        <w:sz w:val="18"/>
        <w:szCs w:val="18"/>
      </w:rPr>
      <w:t>Pa8ge</w:t>
    </w:r>
    <w:r w:rsidRPr="5B52C434" w:rsidR="5B52C434">
      <w:rPr>
        <w:color w:val="666666"/>
        <w:sz w:val="18"/>
        <w:szCs w:val="18"/>
      </w:rPr>
      <w:t xml:space="preserve"> </w:t>
    </w:r>
    <w:r w:rsidRPr="5B52C434">
      <w:rPr>
        <w:noProof/>
        <w:color w:val="666666"/>
        <w:sz w:val="18"/>
        <w:szCs w:val="18"/>
      </w:rPr>
      <w:fldChar w:fldCharType="begin"/>
    </w:r>
    <w:r w:rsidRPr="5B52C434">
      <w:rPr>
        <w:color w:val="666666"/>
        <w:sz w:val="18"/>
        <w:szCs w:val="18"/>
      </w:rPr>
      <w:instrText xml:space="preserve">PAGE</w:instrText>
    </w:r>
    <w:r w:rsidRPr="5B52C434">
      <w:rPr>
        <w:color w:val="666666"/>
        <w:sz w:val="18"/>
        <w:szCs w:val="18"/>
      </w:rPr>
      <w:fldChar w:fldCharType="separate"/>
    </w:r>
    <w:r w:rsidRPr="5B52C434" w:rsidR="5B52C434">
      <w:rPr>
        <w:noProof/>
        <w:color w:val="666666"/>
        <w:sz w:val="18"/>
        <w:szCs w:val="18"/>
      </w:rPr>
      <w:t>1</w:t>
    </w:r>
    <w:r w:rsidRPr="5B52C434">
      <w:rPr>
        <w:noProof/>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68BD" w:rsidRDefault="008F68BD" w14:paraId="7006231E" w14:textId="77777777">
      <w:r>
        <w:separator/>
      </w:r>
    </w:p>
  </w:footnote>
  <w:footnote w:type="continuationSeparator" w:id="0">
    <w:p w:rsidR="008F68BD" w:rsidRDefault="008F68BD" w14:paraId="2330722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365B" w:rsidRDefault="00000000" w14:paraId="06C16AFF" w14:textId="77777777">
    <w:pPr>
      <w:pBdr>
        <w:bottom w:val="single" w:color="CCCCCC" w:sz="4" w:space="4"/>
      </w:pBdr>
      <w:jc w:val="right"/>
    </w:pPr>
    <w:r>
      <w:rPr>
        <w:i/>
        <w:iCs/>
        <w:color w:val="666666"/>
        <w:sz w:val="18"/>
        <w:szCs w:val="18"/>
      </w:rPr>
      <w:t>British Academy Seed Funding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4486"/>
    <w:multiLevelType w:val="hybridMultilevel"/>
    <w:tmpl w:val="FC7CD0A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94F00A9"/>
    <w:multiLevelType w:val="hybridMultilevel"/>
    <w:tmpl w:val="01AA1324"/>
    <w:lvl w:ilvl="0" w:tplc="9C00122E">
      <w:start w:val="1"/>
      <w:numFmt w:val="bullet"/>
      <w:lvlText w:val="●"/>
      <w:lvlJc w:val="left"/>
      <w:pPr>
        <w:ind w:left="720" w:hanging="360"/>
      </w:pPr>
    </w:lvl>
    <w:lvl w:ilvl="1" w:tplc="B5423C16">
      <w:start w:val="1"/>
      <w:numFmt w:val="bullet"/>
      <w:lvlText w:val="○"/>
      <w:lvlJc w:val="left"/>
      <w:pPr>
        <w:ind w:left="1440" w:hanging="360"/>
      </w:pPr>
    </w:lvl>
    <w:lvl w:ilvl="2" w:tplc="7B0051F0">
      <w:start w:val="1"/>
      <w:numFmt w:val="bullet"/>
      <w:lvlText w:val="■"/>
      <w:lvlJc w:val="left"/>
      <w:pPr>
        <w:ind w:left="2160" w:hanging="360"/>
      </w:pPr>
    </w:lvl>
    <w:lvl w:ilvl="3" w:tplc="FB966C3C">
      <w:start w:val="1"/>
      <w:numFmt w:val="bullet"/>
      <w:lvlText w:val="●"/>
      <w:lvlJc w:val="left"/>
      <w:pPr>
        <w:ind w:left="2880" w:hanging="360"/>
      </w:pPr>
    </w:lvl>
    <w:lvl w:ilvl="4" w:tplc="AB9CFAFA">
      <w:start w:val="1"/>
      <w:numFmt w:val="bullet"/>
      <w:lvlText w:val="○"/>
      <w:lvlJc w:val="left"/>
      <w:pPr>
        <w:ind w:left="3600" w:hanging="360"/>
      </w:pPr>
    </w:lvl>
    <w:lvl w:ilvl="5" w:tplc="0700FF40">
      <w:start w:val="1"/>
      <w:numFmt w:val="bullet"/>
      <w:lvlText w:val="■"/>
      <w:lvlJc w:val="left"/>
      <w:pPr>
        <w:ind w:left="4320" w:hanging="360"/>
      </w:pPr>
    </w:lvl>
    <w:lvl w:ilvl="6" w:tplc="C318028C">
      <w:start w:val="1"/>
      <w:numFmt w:val="bullet"/>
      <w:lvlText w:val="●"/>
      <w:lvlJc w:val="left"/>
      <w:pPr>
        <w:ind w:left="5040" w:hanging="360"/>
      </w:pPr>
    </w:lvl>
    <w:lvl w:ilvl="7" w:tplc="2EE4502E">
      <w:start w:val="1"/>
      <w:numFmt w:val="bullet"/>
      <w:lvlText w:val="●"/>
      <w:lvlJc w:val="left"/>
      <w:pPr>
        <w:ind w:left="5760" w:hanging="360"/>
      </w:pPr>
    </w:lvl>
    <w:lvl w:ilvl="8" w:tplc="717069CA">
      <w:start w:val="1"/>
      <w:numFmt w:val="bullet"/>
      <w:lvlText w:val="●"/>
      <w:lvlJc w:val="left"/>
      <w:pPr>
        <w:ind w:left="6480" w:hanging="360"/>
      </w:pPr>
    </w:lvl>
  </w:abstractNum>
  <w:num w:numId="1" w16cid:durableId="423183915">
    <w:abstractNumId w:val="1"/>
    <w:lvlOverride w:ilvl="0">
      <w:startOverride w:val="1"/>
    </w:lvlOverride>
  </w:num>
  <w:num w:numId="2" w16cid:durableId="2013796403">
    <w:abstractNumId w:val="0"/>
  </w:num>
</w:numbering>
</file>

<file path=word/people.xml><?xml version="1.0" encoding="utf-8"?>
<w15:people xmlns:mc="http://schemas.openxmlformats.org/markup-compatibility/2006" xmlns:w15="http://schemas.microsoft.com/office/word/2012/wordml" mc:Ignorable="w15">
  <w15:person w15:author="Christof Brandtner">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65B"/>
    <w:rsid w:val="00043F3F"/>
    <w:rsid w:val="00124248"/>
    <w:rsid w:val="00370D73"/>
    <w:rsid w:val="003A365B"/>
    <w:rsid w:val="00633A15"/>
    <w:rsid w:val="008F68BD"/>
    <w:rsid w:val="009D6D7A"/>
    <w:rsid w:val="00C8565F"/>
    <w:rsid w:val="12F6FC76"/>
    <w:rsid w:val="5B52C4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ACE137"/>
  <w15:docId w15:val="{C8D036A6-F9F6-094B-8FDB-4B4831706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p1" w:customStyle="1">
    <w:name w:val="p1"/>
    <w:basedOn w:val="Normal"/>
    <w:rsid w:val="009D6D7A"/>
    <w:pPr>
      <w:spacing w:before="100" w:beforeAutospacing="1" w:after="100" w:afterAutospacing="1"/>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492df18a869c4853" /><Relationship Type="http://schemas.microsoft.com/office/2011/relationships/people" Target="people.xml" Id="R53ed32fd2a744677" /><Relationship Type="http://schemas.microsoft.com/office/2011/relationships/commentsExtended" Target="commentsExtended.xml" Id="Rde68f95fb5434169" /><Relationship Type="http://schemas.microsoft.com/office/2016/09/relationships/commentsIds" Target="commentsIds.xml" Id="Rbc342f5c3f62469e" /><Relationship Type="http://schemas.microsoft.com/office/2018/08/relationships/commentsExtensible" Target="commentsExtensible.xml" Id="R35372534efe3454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Christof Brandtner</lastModifiedBy>
  <revision>5</revision>
  <dcterms:created xsi:type="dcterms:W3CDTF">2026-02-28T00:01:00.0000000Z</dcterms:created>
  <dcterms:modified xsi:type="dcterms:W3CDTF">2026-03-09T18:30:28.9708027Z</dcterms:modified>
</coreProperties>
</file>