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F3C9" w14:textId="77777777" w:rsidR="00E35ED4" w:rsidRDefault="00E35ED4">
      <w:pPr>
        <w:pStyle w:val="Titre"/>
        <w:jc w:val="center"/>
        <w:rPr>
          <w:rFonts w:ascii="Permanent Marker" w:eastAsia="Permanent Marker" w:hAnsi="Permanent Marker" w:cs="Permanent Marker"/>
          <w:color w:val="990000"/>
          <w:sz w:val="120"/>
          <w:szCs w:val="120"/>
        </w:rPr>
      </w:pPr>
      <w:bookmarkStart w:id="0" w:name="_eefld5s79co2" w:colFirst="0" w:colLast="0"/>
      <w:bookmarkEnd w:id="0"/>
    </w:p>
    <w:p w14:paraId="71472EB3" w14:textId="77777777" w:rsidR="00E35ED4" w:rsidRDefault="00637790">
      <w:pPr>
        <w:pStyle w:val="Titre"/>
        <w:jc w:val="center"/>
        <w:rPr>
          <w:rFonts w:ascii="Permanent Marker" w:eastAsia="Permanent Marker" w:hAnsi="Permanent Marker" w:cs="Permanent Marker"/>
          <w:color w:val="990000"/>
          <w:sz w:val="120"/>
          <w:szCs w:val="120"/>
        </w:rPr>
      </w:pPr>
      <w:bookmarkStart w:id="1" w:name="_uvevojx7a5r2" w:colFirst="0" w:colLast="0"/>
      <w:bookmarkEnd w:id="1"/>
      <w:r>
        <w:rPr>
          <w:rFonts w:ascii="Permanent Marker" w:eastAsia="Permanent Marker" w:hAnsi="Permanent Marker" w:cs="Permanent Marker"/>
          <w:noProof/>
          <w:color w:val="990000"/>
          <w:sz w:val="120"/>
          <w:szCs w:val="120"/>
        </w:rPr>
        <w:drawing>
          <wp:inline distT="114300" distB="114300" distL="114300" distR="114300" wp14:anchorId="4AADF295" wp14:editId="0E4013ED">
            <wp:extent cx="890588" cy="215522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2155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76A35" w14:textId="77777777" w:rsidR="00E35ED4" w:rsidRPr="0047352D" w:rsidRDefault="00637790">
      <w:pPr>
        <w:pStyle w:val="Titre"/>
        <w:jc w:val="center"/>
        <w:rPr>
          <w:rFonts w:ascii="Permanent Marker" w:eastAsia="Permanent Marker" w:hAnsi="Permanent Marker" w:cs="Permanent Marker"/>
          <w:color w:val="990000"/>
          <w:sz w:val="120"/>
          <w:szCs w:val="120"/>
        </w:rPr>
      </w:pPr>
      <w:bookmarkStart w:id="2" w:name="_q6m2f66s6bv6" w:colFirst="0" w:colLast="0"/>
      <w:bookmarkEnd w:id="2"/>
      <w:r w:rsidRPr="0047352D">
        <w:rPr>
          <w:rFonts w:ascii="Permanent Marker" w:eastAsia="Permanent Marker" w:hAnsi="Permanent Marker" w:cs="Permanent Marker"/>
          <w:color w:val="990000"/>
          <w:sz w:val="120"/>
          <w:szCs w:val="120"/>
        </w:rPr>
        <w:t>NBA</w:t>
      </w:r>
    </w:p>
    <w:p w14:paraId="2D1263B9" w14:textId="77777777" w:rsidR="00E35ED4" w:rsidRPr="0047352D" w:rsidRDefault="00637790">
      <w:pPr>
        <w:pStyle w:val="Titre"/>
        <w:jc w:val="center"/>
        <w:rPr>
          <w:rFonts w:ascii="Permanent Marker" w:eastAsia="Permanent Marker" w:hAnsi="Permanent Marker" w:cs="Permanent Marker"/>
          <w:color w:val="990000"/>
          <w:sz w:val="120"/>
          <w:szCs w:val="120"/>
        </w:rPr>
      </w:pPr>
      <w:bookmarkStart w:id="3" w:name="_us6rscu9oeas" w:colFirst="0" w:colLast="0"/>
      <w:bookmarkEnd w:id="3"/>
      <w:r w:rsidRPr="0047352D">
        <w:rPr>
          <w:rFonts w:ascii="Permanent Marker" w:eastAsia="Permanent Marker" w:hAnsi="Permanent Marker" w:cs="Permanent Marker"/>
          <w:color w:val="990000"/>
          <w:sz w:val="120"/>
          <w:szCs w:val="120"/>
        </w:rPr>
        <w:t>Deck-Building</w:t>
      </w:r>
    </w:p>
    <w:p w14:paraId="35887C56" w14:textId="77777777" w:rsidR="00E35ED4" w:rsidRPr="0047352D" w:rsidRDefault="00637790">
      <w:pPr>
        <w:jc w:val="center"/>
        <w:rPr>
          <w:rFonts w:ascii="Permanent Marker" w:eastAsia="Permanent Marker" w:hAnsi="Permanent Marker" w:cs="Permanent Marker"/>
          <w:color w:val="073763"/>
          <w:sz w:val="28"/>
          <w:szCs w:val="28"/>
        </w:rPr>
      </w:pPr>
      <w:r w:rsidRPr="0047352D">
        <w:rPr>
          <w:rFonts w:ascii="Permanent Marker" w:eastAsia="Permanent Marker" w:hAnsi="Permanent Marker" w:cs="Permanent Marker"/>
          <w:color w:val="073763"/>
          <w:sz w:val="28"/>
          <w:szCs w:val="28"/>
        </w:rPr>
        <w:t>Annexe 1 - Variantes et Évolutions futures</w:t>
      </w:r>
    </w:p>
    <w:p w14:paraId="5016B7B2" w14:textId="77777777" w:rsidR="00E35ED4" w:rsidRPr="0047352D" w:rsidRDefault="00E35ED4"/>
    <w:p w14:paraId="12921A4F" w14:textId="77777777" w:rsidR="00E35ED4" w:rsidRPr="0047352D" w:rsidRDefault="00637790">
      <w:pPr>
        <w:pStyle w:val="Titre1"/>
      </w:pPr>
      <w:bookmarkStart w:id="4" w:name="_15t69ua1wbzo" w:colFirst="0" w:colLast="0"/>
      <w:bookmarkEnd w:id="4"/>
      <w:r w:rsidRPr="0047352D">
        <w:lastRenderedPageBreak/>
        <w:t>Variantes</w:t>
      </w:r>
    </w:p>
    <w:p w14:paraId="0A07F8BB" w14:textId="77777777" w:rsidR="00E35ED4" w:rsidRPr="0047352D" w:rsidRDefault="00637790">
      <w:pPr>
        <w:pStyle w:val="Titre2"/>
      </w:pPr>
      <w:bookmarkStart w:id="5" w:name="_a498hokpzwjj" w:colFirst="0" w:colLast="0"/>
      <w:bookmarkEnd w:id="5"/>
      <w:r w:rsidRPr="0047352D">
        <w:t>Varier la durée des parties</w:t>
      </w:r>
    </w:p>
    <w:p w14:paraId="6EDDE1F7" w14:textId="77777777" w:rsidR="00E35ED4" w:rsidRPr="0047352D" w:rsidRDefault="00637790">
      <w:pPr>
        <w:rPr>
          <w:i/>
        </w:rPr>
      </w:pPr>
      <w:r w:rsidRPr="0047352D">
        <w:rPr>
          <w:i/>
        </w:rPr>
        <w:t xml:space="preserve">Varier la durée des parties est très simple : il suffit de réduire ou augmenter le nombre de cartes dans la pioche du marché des cartes </w:t>
      </w:r>
      <w:r w:rsidRPr="0047352D">
        <w:rPr>
          <w:b/>
          <w:i/>
        </w:rPr>
        <w:t xml:space="preserve">Joueur </w:t>
      </w:r>
      <w:r w:rsidRPr="0047352D">
        <w:rPr>
          <w:i/>
        </w:rPr>
        <w:t>lors de la mise en place.</w:t>
      </w:r>
    </w:p>
    <w:p w14:paraId="5132BE3C" w14:textId="77777777" w:rsidR="00E35ED4" w:rsidRPr="0047352D" w:rsidRDefault="00E35ED4"/>
    <w:p w14:paraId="22B8E73B" w14:textId="77777777" w:rsidR="00E35ED4" w:rsidRPr="0047352D" w:rsidRDefault="00637790">
      <w:r w:rsidRPr="0047352D">
        <w:t>Voici un tableau récapitulant le nombre de cartes nécessaires selon le nombre de tours</w:t>
      </w:r>
      <w:r w:rsidRPr="0047352D">
        <w:t xml:space="preserve"> désirés :</w:t>
      </w:r>
    </w:p>
    <w:p w14:paraId="2A8B7756" w14:textId="77777777" w:rsidR="00E35ED4" w:rsidRPr="0047352D" w:rsidRDefault="00E35ED4"/>
    <w:tbl>
      <w:tblPr>
        <w:tblStyle w:val="a"/>
        <w:tblW w:w="6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500"/>
        <w:gridCol w:w="1830"/>
      </w:tblGrid>
      <w:tr w:rsidR="00E35ED4" w:rsidRPr="0047352D" w14:paraId="00304CF0" w14:textId="77777777">
        <w:trPr>
          <w:trHeight w:val="74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124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6DDADC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  <w:color w:val="FFFFFF"/>
              </w:rPr>
              <w:t>Durée de la partie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0124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201BC" w14:textId="77777777" w:rsidR="00E35ED4" w:rsidRPr="0047352D" w:rsidRDefault="00637790">
            <w:pPr>
              <w:widowControl w:val="0"/>
              <w:spacing w:line="276" w:lineRule="auto"/>
              <w:jc w:val="center"/>
            </w:pPr>
            <w:r w:rsidRPr="0047352D">
              <w:rPr>
                <w:b/>
                <w:color w:val="FFFFFF"/>
              </w:rPr>
              <w:t>Nb de tours (par joueur)</w:t>
            </w:r>
          </w:p>
        </w:tc>
        <w:tc>
          <w:tcPr>
            <w:tcW w:w="18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0124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B98500" w14:textId="77777777" w:rsidR="00E35ED4" w:rsidRPr="0047352D" w:rsidRDefault="00637790">
            <w:pPr>
              <w:widowControl w:val="0"/>
              <w:spacing w:line="276" w:lineRule="auto"/>
              <w:jc w:val="center"/>
            </w:pPr>
            <w:r w:rsidRPr="0047352D">
              <w:rPr>
                <w:b/>
                <w:color w:val="FFFFFF"/>
              </w:rPr>
              <w:t>Nb de cartes dans la pioche du marché Joueur</w:t>
            </w:r>
          </w:p>
        </w:tc>
      </w:tr>
      <w:tr w:rsidR="00E35ED4" w14:paraId="67E319B1" w14:textId="77777777">
        <w:trPr>
          <w:trHeight w:val="300"/>
        </w:trPr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043115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Courte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DEAE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8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A783B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12</w:t>
            </w:r>
          </w:p>
        </w:tc>
      </w:tr>
      <w:tr w:rsidR="00E35ED4" w14:paraId="4E281389" w14:textId="77777777">
        <w:trPr>
          <w:trHeight w:val="300"/>
        </w:trPr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D863A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Normale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31A44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12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436935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24</w:t>
            </w:r>
          </w:p>
        </w:tc>
      </w:tr>
      <w:tr w:rsidR="00E35ED4" w14:paraId="0EBCA792" w14:textId="77777777">
        <w:trPr>
          <w:trHeight w:val="300"/>
        </w:trPr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23D37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Longue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6E01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18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FDC21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32</w:t>
            </w:r>
          </w:p>
        </w:tc>
      </w:tr>
      <w:tr w:rsidR="00E35ED4" w14:paraId="3C861FB4" w14:textId="77777777">
        <w:trPr>
          <w:trHeight w:val="300"/>
        </w:trPr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54DC0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Épique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4A40E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24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676BE" w14:textId="77777777" w:rsidR="00E35ED4" w:rsidRDefault="00637790">
            <w:pPr>
              <w:widowControl w:val="0"/>
              <w:spacing w:line="276" w:lineRule="auto"/>
              <w:jc w:val="center"/>
            </w:pPr>
            <w:r>
              <w:rPr>
                <w:b/>
              </w:rPr>
              <w:t>44</w:t>
            </w:r>
          </w:p>
        </w:tc>
      </w:tr>
    </w:tbl>
    <w:p w14:paraId="007B1D94" w14:textId="77777777" w:rsidR="00E35ED4" w:rsidRDefault="00637790">
      <w:pPr>
        <w:pStyle w:val="Titre2"/>
      </w:pPr>
      <w:bookmarkStart w:id="6" w:name="_uql6octkd5rn" w:colFirst="0" w:colLast="0"/>
      <w:bookmarkEnd w:id="6"/>
      <w:r>
        <w:t>Variantes expertes</w:t>
      </w:r>
    </w:p>
    <w:p w14:paraId="0E2A5A6F" w14:textId="77777777" w:rsidR="00E35ED4" w:rsidRPr="0047352D" w:rsidRDefault="00637790">
      <w:pPr>
        <w:pStyle w:val="Titre3"/>
      </w:pPr>
      <w:bookmarkStart w:id="7" w:name="_5nfkfe1gtna7" w:colFirst="0" w:colLast="0"/>
      <w:bookmarkEnd w:id="7"/>
      <w:r w:rsidRPr="0047352D">
        <w:t>Variante experte 1 : Sélection de son équipe de départ</w:t>
      </w:r>
    </w:p>
    <w:p w14:paraId="09DC197D" w14:textId="77777777" w:rsidR="00E35ED4" w:rsidRPr="0047352D" w:rsidRDefault="00637790">
      <w:r w:rsidRPr="0047352D">
        <w:t>Au lieu de démarrer avec les cartes prédéfinies (et désignées par la note “Initiation” en bas à gauche des cartes), les joueurs peuvent décider de choisir eux-mêmes leurs 17 cartes de départ : 5 titula</w:t>
      </w:r>
      <w:r w:rsidRPr="0047352D">
        <w:t>ires, 7 remplaçants et 5 tactiques de base.</w:t>
      </w:r>
    </w:p>
    <w:p w14:paraId="5BCA8220" w14:textId="77777777" w:rsidR="00E35ED4" w:rsidRPr="0047352D" w:rsidRDefault="00637790">
      <w:r w:rsidRPr="0047352D">
        <w:t xml:space="preserve">Pour cela, le jeu est livré avec 10 cartes </w:t>
      </w:r>
      <w:r w:rsidRPr="0047352D">
        <w:rPr>
          <w:b/>
          <w:i/>
        </w:rPr>
        <w:t xml:space="preserve">Joueur </w:t>
      </w:r>
      <w:r w:rsidRPr="0047352D">
        <w:t xml:space="preserve">“Titulaire” différentes (2 par poste), 10 cartes </w:t>
      </w:r>
      <w:r w:rsidRPr="0047352D">
        <w:rPr>
          <w:b/>
          <w:i/>
        </w:rPr>
        <w:t xml:space="preserve">Joueur </w:t>
      </w:r>
      <w:r w:rsidRPr="0047352D">
        <w:t xml:space="preserve">“Remplaçants” (2 par poste également) et 10 cartes </w:t>
      </w:r>
      <w:r w:rsidRPr="0047352D">
        <w:rPr>
          <w:b/>
          <w:i/>
        </w:rPr>
        <w:t xml:space="preserve">Tactique </w:t>
      </w:r>
      <w:r w:rsidRPr="0047352D">
        <w:t>de base (5 offensives et 5 défensives).</w:t>
      </w:r>
    </w:p>
    <w:p w14:paraId="02EEE02E" w14:textId="77777777" w:rsidR="00E35ED4" w:rsidRPr="0047352D" w:rsidRDefault="00637790">
      <w:r w:rsidRPr="0047352D">
        <w:t xml:space="preserve">Parmi </w:t>
      </w:r>
      <w:r w:rsidRPr="0047352D">
        <w:t>toutes ces cartes les joueurs pourront constituer leur équipe initiale de 17 cartes, en respectant les règles suivantes :</w:t>
      </w:r>
    </w:p>
    <w:p w14:paraId="211AF8B7" w14:textId="77777777" w:rsidR="00E35ED4" w:rsidRPr="0047352D" w:rsidRDefault="00637790">
      <w:pPr>
        <w:numPr>
          <w:ilvl w:val="0"/>
          <w:numId w:val="1"/>
        </w:numPr>
      </w:pPr>
      <w:r w:rsidRPr="0047352D">
        <w:t xml:space="preserve">1 carte </w:t>
      </w:r>
      <w:r w:rsidRPr="0047352D">
        <w:rPr>
          <w:b/>
          <w:i/>
        </w:rPr>
        <w:t xml:space="preserve">Joueur </w:t>
      </w:r>
      <w:r w:rsidRPr="0047352D">
        <w:t xml:space="preserve">“Titulaire” par poste, 5 cartes “Titulaire” au total. Ces cartes seront toutes posées sur le plateau </w:t>
      </w:r>
      <w:r w:rsidRPr="0047352D">
        <w:rPr>
          <w:b/>
          <w:i/>
        </w:rPr>
        <w:t>Terrain</w:t>
      </w:r>
      <w:r w:rsidRPr="0047352D">
        <w:t>, et aucune</w:t>
      </w:r>
      <w:r w:rsidRPr="0047352D">
        <w:t xml:space="preserve"> carte “Titulaire” ne peut être dans la pioche au départ.</w:t>
      </w:r>
    </w:p>
    <w:p w14:paraId="22C43A35" w14:textId="77777777" w:rsidR="00E35ED4" w:rsidRPr="0047352D" w:rsidRDefault="00637790">
      <w:pPr>
        <w:numPr>
          <w:ilvl w:val="0"/>
          <w:numId w:val="1"/>
        </w:numPr>
      </w:pPr>
      <w:r w:rsidRPr="0047352D">
        <w:t xml:space="preserve">Au moins 5 cartes </w:t>
      </w:r>
      <w:r w:rsidRPr="0047352D">
        <w:rPr>
          <w:b/>
          <w:i/>
        </w:rPr>
        <w:t xml:space="preserve">Joueur </w:t>
      </w:r>
      <w:r w:rsidRPr="0047352D">
        <w:t>“Remplaçant”.</w:t>
      </w:r>
    </w:p>
    <w:p w14:paraId="5CF9D6CC" w14:textId="77777777" w:rsidR="00E35ED4" w:rsidRPr="0047352D" w:rsidRDefault="00637790">
      <w:pPr>
        <w:numPr>
          <w:ilvl w:val="0"/>
          <w:numId w:val="1"/>
        </w:numPr>
      </w:pPr>
      <w:r w:rsidRPr="0047352D">
        <w:t xml:space="preserve">Au moins 3 cartes </w:t>
      </w:r>
      <w:r w:rsidRPr="0047352D">
        <w:rPr>
          <w:b/>
          <w:i/>
        </w:rPr>
        <w:t xml:space="preserve">Tactique </w:t>
      </w:r>
      <w:r w:rsidRPr="0047352D">
        <w:t>de base.</w:t>
      </w:r>
    </w:p>
    <w:p w14:paraId="77B23E40" w14:textId="77777777" w:rsidR="00E35ED4" w:rsidRPr="0047352D" w:rsidRDefault="00637790">
      <w:pPr>
        <w:pStyle w:val="Titre3"/>
      </w:pPr>
      <w:bookmarkStart w:id="8" w:name="_51qb8ehw5ur8" w:colFirst="0" w:colLast="0"/>
      <w:bookmarkEnd w:id="8"/>
      <w:r w:rsidRPr="0047352D">
        <w:t>Variante experte 2 : Draft initiale</w:t>
      </w:r>
    </w:p>
    <w:p w14:paraId="0C0B1DE8" w14:textId="77777777" w:rsidR="00E35ED4" w:rsidRPr="0047352D" w:rsidRDefault="00637790">
      <w:r w:rsidRPr="0047352D">
        <w:t xml:space="preserve">Cette variante permet de modifier la manière dont est créé le paquet de cartes </w:t>
      </w:r>
      <w:r w:rsidRPr="0047352D">
        <w:rPr>
          <w:b/>
          <w:i/>
        </w:rPr>
        <w:t xml:space="preserve">Joueur </w:t>
      </w:r>
      <w:r w:rsidRPr="0047352D">
        <w:t>d</w:t>
      </w:r>
      <w:r w:rsidRPr="0047352D">
        <w:t xml:space="preserve">u marché. Elle permet également à chaque joueur de commencer la partie avec un mini-marché personnel de 5 cartes </w:t>
      </w:r>
      <w:r w:rsidRPr="0047352D">
        <w:rPr>
          <w:b/>
          <w:i/>
        </w:rPr>
        <w:t xml:space="preserve">Joueur </w:t>
      </w:r>
      <w:r w:rsidRPr="0047352D">
        <w:t xml:space="preserve">qu’il aura </w:t>
      </w:r>
      <w:proofErr w:type="gramStart"/>
      <w:r w:rsidRPr="0047352D">
        <w:t>sélectionnées</w:t>
      </w:r>
      <w:proofErr w:type="gramEnd"/>
      <w:r w:rsidRPr="0047352D">
        <w:t>, qui ne seront jamais défaussées, et qu’il pourra acheter en lieu et place d’une carte du marché “commun”.</w:t>
      </w:r>
    </w:p>
    <w:p w14:paraId="2186FC1D" w14:textId="77777777" w:rsidR="00E35ED4" w:rsidRPr="0047352D" w:rsidRDefault="00E35ED4"/>
    <w:p w14:paraId="5282AC2A" w14:textId="77777777" w:rsidR="00E35ED4" w:rsidRDefault="00637790">
      <w:r w:rsidRPr="0047352D">
        <w:lastRenderedPageBreak/>
        <w:t>Cet</w:t>
      </w:r>
      <w:r w:rsidRPr="0047352D">
        <w:t xml:space="preserve">te variante remplace donc la phase de constitution de la pioche de cartes du marché </w:t>
      </w:r>
      <w:r w:rsidRPr="0047352D">
        <w:rPr>
          <w:b/>
          <w:i/>
        </w:rPr>
        <w:t>Joueur</w:t>
      </w:r>
      <w:r w:rsidRPr="0047352D">
        <w:t xml:space="preserve">. </w:t>
      </w:r>
      <w:r>
        <w:t>Pour l’appliquer, il faut suivre les règles suivantes :</w:t>
      </w:r>
    </w:p>
    <w:p w14:paraId="7A13B9F8" w14:textId="77777777" w:rsidR="00E35ED4" w:rsidRPr="0047352D" w:rsidRDefault="00637790">
      <w:pPr>
        <w:numPr>
          <w:ilvl w:val="0"/>
          <w:numId w:val="4"/>
        </w:numPr>
      </w:pPr>
      <w:r w:rsidRPr="0047352D">
        <w:t>La draft se déroule en 5 tours.</w:t>
      </w:r>
    </w:p>
    <w:p w14:paraId="61D262D1" w14:textId="77777777" w:rsidR="00E35ED4" w:rsidRPr="0047352D" w:rsidRDefault="00637790">
      <w:pPr>
        <w:numPr>
          <w:ilvl w:val="0"/>
          <w:numId w:val="4"/>
        </w:numPr>
      </w:pPr>
      <w:r w:rsidRPr="0047352D">
        <w:t xml:space="preserve">Un paquet contenant toutes les cartes </w:t>
      </w:r>
      <w:r w:rsidRPr="0047352D">
        <w:rPr>
          <w:b/>
          <w:i/>
        </w:rPr>
        <w:t xml:space="preserve">Joueur </w:t>
      </w:r>
      <w:r w:rsidRPr="0047352D">
        <w:t>NBA (sauf donc les cartes “Titulaire” et “Remplaçant”) est mélangé et constitué en pioche.</w:t>
      </w:r>
    </w:p>
    <w:p w14:paraId="5F25D25A" w14:textId="77777777" w:rsidR="00E35ED4" w:rsidRPr="0047352D" w:rsidRDefault="00637790">
      <w:pPr>
        <w:numPr>
          <w:ilvl w:val="0"/>
          <w:numId w:val="4"/>
        </w:numPr>
      </w:pPr>
      <w:r w:rsidRPr="0047352D">
        <w:t xml:space="preserve">Au début de chaque tour de draft, chacun des joueurs reçoit 5 cartes de la pioche de </w:t>
      </w:r>
      <w:r w:rsidRPr="0047352D">
        <w:rPr>
          <w:b/>
          <w:i/>
        </w:rPr>
        <w:t xml:space="preserve">Joueur </w:t>
      </w:r>
      <w:r w:rsidRPr="0047352D">
        <w:t>NBA.</w:t>
      </w:r>
    </w:p>
    <w:p w14:paraId="4903AC26" w14:textId="77777777" w:rsidR="00E35ED4" w:rsidRPr="0047352D" w:rsidRDefault="00637790">
      <w:pPr>
        <w:numPr>
          <w:ilvl w:val="0"/>
          <w:numId w:val="4"/>
        </w:numPr>
      </w:pPr>
      <w:r w:rsidRPr="0047352D">
        <w:t xml:space="preserve">Les joueurs vont simultanément sélectionner </w:t>
      </w:r>
      <w:r w:rsidRPr="0047352D">
        <w:rPr>
          <w:b/>
        </w:rPr>
        <w:t xml:space="preserve">1 carte </w:t>
      </w:r>
      <w:r w:rsidRPr="0047352D">
        <w:t xml:space="preserve">pour leur </w:t>
      </w:r>
      <w:r w:rsidRPr="0047352D">
        <w:rPr>
          <w:b/>
        </w:rPr>
        <w:t>“mini-</w:t>
      </w:r>
      <w:r w:rsidRPr="0047352D">
        <w:rPr>
          <w:b/>
        </w:rPr>
        <w:t>marché”</w:t>
      </w:r>
      <w:r w:rsidRPr="0047352D">
        <w:t xml:space="preserve"> (posée face cachée près de leur plateau </w:t>
      </w:r>
      <w:r w:rsidRPr="0047352D">
        <w:rPr>
          <w:b/>
          <w:i/>
        </w:rPr>
        <w:t>Terrain</w:t>
      </w:r>
      <w:r w:rsidRPr="0047352D">
        <w:t xml:space="preserve">), </w:t>
      </w:r>
      <w:r w:rsidRPr="0047352D">
        <w:rPr>
          <w:b/>
        </w:rPr>
        <w:t xml:space="preserve">2 cartes </w:t>
      </w:r>
      <w:r w:rsidRPr="0047352D">
        <w:t xml:space="preserve">pour le </w:t>
      </w:r>
      <w:r w:rsidRPr="0047352D">
        <w:rPr>
          <w:b/>
        </w:rPr>
        <w:t xml:space="preserve">marché commun </w:t>
      </w:r>
      <w:r w:rsidRPr="0047352D">
        <w:t xml:space="preserve">(posées face cachée sur le plateau </w:t>
      </w:r>
      <w:r w:rsidRPr="0047352D">
        <w:rPr>
          <w:b/>
          <w:i/>
        </w:rPr>
        <w:t>Marchés</w:t>
      </w:r>
      <w:r w:rsidRPr="0047352D">
        <w:t xml:space="preserve">) et </w:t>
      </w:r>
      <w:r w:rsidRPr="0047352D">
        <w:rPr>
          <w:b/>
        </w:rPr>
        <w:t>2 cartes</w:t>
      </w:r>
      <w:r w:rsidRPr="0047352D">
        <w:t xml:space="preserve"> qu’ils remettront </w:t>
      </w:r>
      <w:r w:rsidRPr="0047352D">
        <w:rPr>
          <w:b/>
        </w:rPr>
        <w:t>dans la boîte</w:t>
      </w:r>
      <w:r w:rsidRPr="0047352D">
        <w:t>.</w:t>
      </w:r>
    </w:p>
    <w:p w14:paraId="2CF00566" w14:textId="77777777" w:rsidR="00E35ED4" w:rsidRPr="0047352D" w:rsidRDefault="00637790">
      <w:pPr>
        <w:numPr>
          <w:ilvl w:val="0"/>
          <w:numId w:val="4"/>
        </w:numPr>
      </w:pPr>
      <w:r w:rsidRPr="0047352D">
        <w:t>A la fin des 5 tours de draft, chaque joueur aura donc un mini-marché de 5 car</w:t>
      </w:r>
      <w:r w:rsidRPr="0047352D">
        <w:t xml:space="preserve">tes, dont il révèlera les cartes face visible, qu’il placera au-dessus de ses réserves de dés. </w:t>
      </w:r>
    </w:p>
    <w:p w14:paraId="0F0BDA7F" w14:textId="77777777" w:rsidR="00E35ED4" w:rsidRPr="0047352D" w:rsidRDefault="00637790">
      <w:pPr>
        <w:numPr>
          <w:ilvl w:val="0"/>
          <w:numId w:val="4"/>
        </w:numPr>
      </w:pPr>
      <w:r w:rsidRPr="0047352D">
        <w:t xml:space="preserve">Il y aura également une pioche de 20 cartes </w:t>
      </w:r>
      <w:r w:rsidRPr="0047352D">
        <w:rPr>
          <w:b/>
          <w:i/>
        </w:rPr>
        <w:t xml:space="preserve">Joueur </w:t>
      </w:r>
      <w:r w:rsidRPr="0047352D">
        <w:t xml:space="preserve">pour constituer le marché de cartes </w:t>
      </w:r>
      <w:r w:rsidRPr="0047352D">
        <w:rPr>
          <w:b/>
          <w:i/>
        </w:rPr>
        <w:t>Joueur</w:t>
      </w:r>
      <w:r w:rsidRPr="0047352D">
        <w:t>. Ces cartes sont mélangées face cachée, sans les révéler et la pio</w:t>
      </w:r>
      <w:r w:rsidRPr="0047352D">
        <w:t xml:space="preserve">che est posée sur l’emplacement réservé à cet effet. </w:t>
      </w:r>
      <w:r w:rsidRPr="0047352D">
        <w:rPr>
          <w:b/>
          <w:u w:val="single"/>
        </w:rPr>
        <w:t>Les cartes ne sont pas triées</w:t>
      </w:r>
      <w:r w:rsidRPr="0047352D">
        <w:t>, comme c’est le cas dans la règle standard.</w:t>
      </w:r>
    </w:p>
    <w:p w14:paraId="54C9F5B4" w14:textId="77777777" w:rsidR="00E35ED4" w:rsidRPr="0047352D" w:rsidRDefault="00E35ED4"/>
    <w:p w14:paraId="62E3E3BD" w14:textId="77777777" w:rsidR="00E35ED4" w:rsidRPr="0047352D" w:rsidRDefault="00637790">
      <w:r w:rsidRPr="0047352D">
        <w:t>Durant la partie, à son tour, lors de l’achat d’une carte Joueur, le joueur actif peut décider d’acheter une carte de son “mini-</w:t>
      </w:r>
      <w:r w:rsidRPr="0047352D">
        <w:t>marché” plutôt qu’une carte du marché commun. Mais il ne peut toujours acquérir qu’une seule carte par tour.</w:t>
      </w:r>
    </w:p>
    <w:p w14:paraId="5BA4B255" w14:textId="77777777" w:rsidR="00E35ED4" w:rsidRPr="0047352D" w:rsidRDefault="00E35ED4">
      <w:pPr>
        <w:rPr>
          <w:i/>
        </w:rPr>
      </w:pPr>
    </w:p>
    <w:p w14:paraId="585A5D90" w14:textId="77777777" w:rsidR="00E35ED4" w:rsidRPr="0047352D" w:rsidRDefault="00637790">
      <w:pPr>
        <w:rPr>
          <w:i/>
        </w:rPr>
      </w:pPr>
      <w:r w:rsidRPr="0047352D">
        <w:rPr>
          <w:b/>
          <w:i/>
          <w:u w:val="single"/>
        </w:rPr>
        <w:t xml:space="preserve">Combiner avec la variante de durée de partie </w:t>
      </w:r>
      <w:r w:rsidRPr="0047352D">
        <w:rPr>
          <w:i/>
        </w:rPr>
        <w:t>: Pour combiner cette variante avec une durée de partie différente, il suffit de retirer ou d’ajouter</w:t>
      </w:r>
      <w:r w:rsidRPr="0047352D">
        <w:rPr>
          <w:i/>
        </w:rPr>
        <w:t xml:space="preserve"> au hasard des cartes dans la pioche du marché </w:t>
      </w:r>
      <w:r w:rsidRPr="0047352D">
        <w:rPr>
          <w:b/>
        </w:rPr>
        <w:t>Joueur</w:t>
      </w:r>
      <w:r w:rsidRPr="0047352D">
        <w:rPr>
          <w:i/>
        </w:rPr>
        <w:t>, afin d’obtenir le nombre désiré.</w:t>
      </w:r>
    </w:p>
    <w:p w14:paraId="1DC452BA" w14:textId="77777777" w:rsidR="00E35ED4" w:rsidRPr="0047352D" w:rsidRDefault="00637790">
      <w:pPr>
        <w:pStyle w:val="Titre3"/>
      </w:pPr>
      <w:bookmarkStart w:id="9" w:name="_ojgxq4uyfazy" w:colFirst="0" w:colLast="0"/>
      <w:bookmarkEnd w:id="9"/>
      <w:r w:rsidRPr="0047352D">
        <w:t>Variante experte 3 : Le Money-time</w:t>
      </w:r>
    </w:p>
    <w:p w14:paraId="0FA67540" w14:textId="77777777" w:rsidR="00E35ED4" w:rsidRPr="0047352D" w:rsidRDefault="00637790">
      <w:r w:rsidRPr="0047352D">
        <w:t>Cette variante rend la fin de la partie un peu plus explosive.</w:t>
      </w:r>
    </w:p>
    <w:p w14:paraId="7FECDD41" w14:textId="77777777" w:rsidR="00E35ED4" w:rsidRPr="0047352D" w:rsidRDefault="00637790">
      <w:r w:rsidRPr="0047352D">
        <w:t xml:space="preserve">Le </w:t>
      </w:r>
      <w:r w:rsidRPr="0047352D">
        <w:rPr>
          <w:b/>
        </w:rPr>
        <w:t>Money-time</w:t>
      </w:r>
      <w:r w:rsidRPr="0047352D">
        <w:t xml:space="preserve"> commence lorsque la </w:t>
      </w:r>
      <w:r w:rsidRPr="0047352D">
        <w:rPr>
          <w:b/>
        </w:rPr>
        <w:t xml:space="preserve">pioche du marché </w:t>
      </w:r>
      <w:r w:rsidRPr="0047352D">
        <w:t xml:space="preserve">de cartes </w:t>
      </w:r>
      <w:r w:rsidRPr="0047352D">
        <w:rPr>
          <w:b/>
          <w:i/>
        </w:rPr>
        <w:t xml:space="preserve">Joueur </w:t>
      </w:r>
      <w:r w:rsidRPr="0047352D">
        <w:t xml:space="preserve">est </w:t>
      </w:r>
      <w:r w:rsidRPr="0047352D">
        <w:rPr>
          <w:b/>
        </w:rPr>
        <w:t>vide</w:t>
      </w:r>
      <w:r w:rsidRPr="0047352D">
        <w:t xml:space="preserve">, et qu’il reste donc 6 cartes sur la piste de défilement des cartes </w:t>
      </w:r>
      <w:r w:rsidRPr="0047352D">
        <w:rPr>
          <w:b/>
          <w:i/>
        </w:rPr>
        <w:t>Joueur</w:t>
      </w:r>
      <w:r w:rsidRPr="0047352D">
        <w:t>. Il s’agit des 6 derniers tours.</w:t>
      </w:r>
    </w:p>
    <w:p w14:paraId="3CF111FB" w14:textId="77777777" w:rsidR="00E35ED4" w:rsidRPr="0047352D" w:rsidRDefault="00E35ED4"/>
    <w:p w14:paraId="074B9E55" w14:textId="77777777" w:rsidR="00E35ED4" w:rsidRPr="0047352D" w:rsidRDefault="00637790">
      <w:r w:rsidRPr="0047352D">
        <w:t>Durant ces derniers tours quelques règles changent :</w:t>
      </w:r>
    </w:p>
    <w:p w14:paraId="7B05D5AD" w14:textId="77777777" w:rsidR="00E35ED4" w:rsidRPr="0047352D" w:rsidRDefault="00637790">
      <w:pPr>
        <w:numPr>
          <w:ilvl w:val="0"/>
          <w:numId w:val="2"/>
        </w:numPr>
      </w:pPr>
      <w:r w:rsidRPr="0047352D">
        <w:t xml:space="preserve">Les </w:t>
      </w:r>
      <w:r w:rsidRPr="0047352D">
        <w:rPr>
          <w:b/>
        </w:rPr>
        <w:t>cartes achetées</w:t>
      </w:r>
      <w:r w:rsidRPr="0047352D">
        <w:t xml:space="preserve"> (</w:t>
      </w:r>
      <w:r w:rsidRPr="0047352D">
        <w:rPr>
          <w:b/>
          <w:i/>
        </w:rPr>
        <w:t>Tactique</w:t>
      </w:r>
      <w:r w:rsidRPr="0047352D">
        <w:t xml:space="preserve"> ou </w:t>
      </w:r>
      <w:r w:rsidRPr="0047352D">
        <w:rPr>
          <w:b/>
          <w:i/>
        </w:rPr>
        <w:t>Joueur</w:t>
      </w:r>
      <w:r w:rsidRPr="0047352D">
        <w:t xml:space="preserve">) sont </w:t>
      </w:r>
      <w:r w:rsidRPr="0047352D">
        <w:rPr>
          <w:b/>
        </w:rPr>
        <w:t xml:space="preserve">directement </w:t>
      </w:r>
      <w:r w:rsidRPr="0047352D">
        <w:t xml:space="preserve">mises </w:t>
      </w:r>
      <w:r w:rsidRPr="0047352D">
        <w:rPr>
          <w:b/>
        </w:rPr>
        <w:t>dans</w:t>
      </w:r>
      <w:r w:rsidRPr="0047352D">
        <w:rPr>
          <w:b/>
        </w:rPr>
        <w:t xml:space="preserve"> la main </w:t>
      </w:r>
      <w:r w:rsidRPr="0047352D">
        <w:t>du joueur, et peuvent donc être jouées immédiatement si possible.</w:t>
      </w:r>
    </w:p>
    <w:p w14:paraId="29E353E5" w14:textId="77777777" w:rsidR="00E35ED4" w:rsidRPr="0047352D" w:rsidRDefault="00637790">
      <w:pPr>
        <w:numPr>
          <w:ilvl w:val="0"/>
          <w:numId w:val="2"/>
        </w:numPr>
      </w:pPr>
      <w:r w:rsidRPr="0047352D">
        <w:t xml:space="preserve">Les joueurs ne prennent </w:t>
      </w:r>
      <w:r w:rsidRPr="0047352D">
        <w:rPr>
          <w:b/>
        </w:rPr>
        <w:t xml:space="preserve">plus de cartes </w:t>
      </w:r>
      <w:r w:rsidRPr="0047352D">
        <w:rPr>
          <w:b/>
          <w:i/>
        </w:rPr>
        <w:t>Fatigue</w:t>
      </w:r>
      <w:r w:rsidRPr="0047352D">
        <w:rPr>
          <w:b/>
        </w:rPr>
        <w:t xml:space="preserve"> </w:t>
      </w:r>
      <w:r w:rsidRPr="0047352D">
        <w:t xml:space="preserve">lorsqu’ils décident de relancer des dés défensifs, mais il est autorisé de </w:t>
      </w:r>
      <w:r w:rsidRPr="0047352D">
        <w:rPr>
          <w:b/>
        </w:rPr>
        <w:t xml:space="preserve">relancer gratuitement </w:t>
      </w:r>
      <w:r w:rsidRPr="0047352D">
        <w:t xml:space="preserve">jusqu’à </w:t>
      </w:r>
      <w:r w:rsidRPr="0047352D">
        <w:rPr>
          <w:b/>
        </w:rPr>
        <w:t xml:space="preserve">2 dés </w:t>
      </w:r>
      <w:r w:rsidRPr="0047352D">
        <w:t xml:space="preserve">par action </w:t>
      </w:r>
      <w:r w:rsidRPr="0047352D">
        <w:rPr>
          <w:b/>
        </w:rPr>
        <w:t>défensive</w:t>
      </w:r>
      <w:r w:rsidRPr="0047352D">
        <w:t>.</w:t>
      </w:r>
    </w:p>
    <w:p w14:paraId="11165063" w14:textId="77777777" w:rsidR="00E35ED4" w:rsidRPr="0047352D" w:rsidRDefault="00637790">
      <w:pPr>
        <w:numPr>
          <w:ilvl w:val="1"/>
          <w:numId w:val="2"/>
        </w:numPr>
        <w:rPr>
          <w:i/>
        </w:rPr>
      </w:pPr>
      <w:r w:rsidRPr="0047352D">
        <w:rPr>
          <w:i/>
        </w:rPr>
        <w:t>C</w:t>
      </w:r>
      <w:r w:rsidRPr="0047352D">
        <w:rPr>
          <w:i/>
        </w:rPr>
        <w:t>ependant, les cartes Fatigue précédemment acquise reste active dans le jeu des joueurs.</w:t>
      </w:r>
    </w:p>
    <w:p w14:paraId="2DDBB2CF" w14:textId="77777777" w:rsidR="0047352D" w:rsidRDefault="0047352D">
      <w:pPr>
        <w:rPr>
          <w:rFonts w:ascii="Comfortaa" w:eastAsia="Comfortaa" w:hAnsi="Comfortaa" w:cs="Comfortaa"/>
          <w:b/>
          <w:color w:val="990000"/>
          <w:sz w:val="48"/>
          <w:szCs w:val="48"/>
        </w:rPr>
      </w:pPr>
      <w:bookmarkStart w:id="10" w:name="_tr3bxij2c2c8" w:colFirst="0" w:colLast="0"/>
      <w:bookmarkEnd w:id="10"/>
      <w:r>
        <w:br w:type="page"/>
      </w:r>
    </w:p>
    <w:p w14:paraId="2016916D" w14:textId="07FA715D" w:rsidR="00E35ED4" w:rsidRPr="0047352D" w:rsidRDefault="00637790">
      <w:pPr>
        <w:pStyle w:val="Titre1"/>
        <w:jc w:val="left"/>
      </w:pPr>
      <w:bookmarkStart w:id="11" w:name="_GoBack"/>
      <w:bookmarkEnd w:id="11"/>
      <w:r w:rsidRPr="0047352D">
        <w:lastRenderedPageBreak/>
        <w:t>Évolutions possibles</w:t>
      </w:r>
    </w:p>
    <w:p w14:paraId="1CD5C390" w14:textId="77777777" w:rsidR="00E35ED4" w:rsidRPr="0047352D" w:rsidRDefault="00637790">
      <w:pPr>
        <w:pStyle w:val="Titre2"/>
        <w:jc w:val="left"/>
      </w:pPr>
      <w:bookmarkStart w:id="12" w:name="_44dicyz2md85" w:colFirst="0" w:colLast="0"/>
      <w:bookmarkEnd w:id="12"/>
      <w:r w:rsidRPr="0047352D">
        <w:t>Jeu de cartes évolutifs</w:t>
      </w:r>
    </w:p>
    <w:p w14:paraId="4FBC314B" w14:textId="77777777" w:rsidR="00E35ED4" w:rsidRPr="0047352D" w:rsidRDefault="00637790">
      <w:r w:rsidRPr="0047352D">
        <w:t>Ce jeu de cartes se prête très bien au modèle de jeu de cartes évolutifs. On peut imaginer une boîte de base qui contient l</w:t>
      </w:r>
      <w:r w:rsidRPr="0047352D">
        <w:t>es cartes et les dés de base, toutes les tactiques, ainsi que les joueurs (tout ou partie) de la saison en cours de NBA. On peut ne garder que les 5 meilleurs joueurs de chaque équipe par exemple pour réduire le nombre de cartes (ce qui ferait quand même 5</w:t>
      </w:r>
      <w:r w:rsidRPr="0047352D">
        <w:t>x30=150 cartes uniques).</w:t>
      </w:r>
    </w:p>
    <w:p w14:paraId="01BBFD1E" w14:textId="77777777" w:rsidR="00E35ED4" w:rsidRPr="0047352D" w:rsidRDefault="00637790">
      <w:r w:rsidRPr="0047352D">
        <w:t>Par la suite, des boîtes de mise à jour des cartes Joueur, chaque année prenant compte de l’évolution des joueurs (progression, départ à la retraite, changement de poste).</w:t>
      </w:r>
    </w:p>
    <w:p w14:paraId="23EA0679" w14:textId="77777777" w:rsidR="00E35ED4" w:rsidRPr="0047352D" w:rsidRDefault="00637790">
      <w:r w:rsidRPr="0047352D">
        <w:t>Enfin, on pourrait mettre à disposition des joueurs des set</w:t>
      </w:r>
      <w:r w:rsidRPr="0047352D">
        <w:t xml:space="preserve"> de cartes </w:t>
      </w:r>
      <w:r w:rsidRPr="0047352D">
        <w:rPr>
          <w:b/>
          <w:i/>
        </w:rPr>
        <w:t xml:space="preserve">Joueur </w:t>
      </w:r>
      <w:r w:rsidRPr="0047352D">
        <w:t>reprenant quelques joueurs, équipes ou années légendaires (pour jouer avec Michael Jordan ou Magic Johnson, par exemple).</w:t>
      </w:r>
    </w:p>
    <w:p w14:paraId="640707A1" w14:textId="77777777" w:rsidR="00E35ED4" w:rsidRPr="0047352D" w:rsidRDefault="00637790">
      <w:pPr>
        <w:pStyle w:val="Titre2"/>
        <w:jc w:val="left"/>
      </w:pPr>
      <w:bookmarkStart w:id="13" w:name="_95ote94vs5hq" w:colFirst="0" w:colLast="0"/>
      <w:bookmarkEnd w:id="13"/>
      <w:r w:rsidRPr="0047352D">
        <w:t>Mini-jeu “</w:t>
      </w:r>
      <w:proofErr w:type="spellStart"/>
      <w:r w:rsidRPr="0047352D">
        <w:t>Mismatch</w:t>
      </w:r>
      <w:proofErr w:type="spellEnd"/>
      <w:r w:rsidRPr="0047352D">
        <w:t>”</w:t>
      </w:r>
    </w:p>
    <w:p w14:paraId="7CBC9AC1" w14:textId="77777777" w:rsidR="00E35ED4" w:rsidRPr="0047352D" w:rsidRDefault="00637790">
      <w:pPr>
        <w:rPr>
          <w:i/>
        </w:rPr>
      </w:pPr>
      <w:r w:rsidRPr="0047352D">
        <w:rPr>
          <w:i/>
        </w:rPr>
        <w:t xml:space="preserve">[Le </w:t>
      </w:r>
      <w:proofErr w:type="spellStart"/>
      <w:r w:rsidRPr="0047352D">
        <w:rPr>
          <w:i/>
        </w:rPr>
        <w:t>mismatch</w:t>
      </w:r>
      <w:proofErr w:type="spellEnd"/>
      <w:r w:rsidRPr="0047352D">
        <w:rPr>
          <w:i/>
        </w:rPr>
        <w:t xml:space="preserve"> en basket est une opposition directe entre deux joueurs sur le terrain qui est clai</w:t>
      </w:r>
      <w:r w:rsidRPr="0047352D">
        <w:rPr>
          <w:i/>
        </w:rPr>
        <w:t>rement à l’avantage de l’un des deux. Dans ce cas, l’équipe avantagée en profite pour jouer précisément sur ce joueur, afin de s’assurer des points faciles.]</w:t>
      </w:r>
    </w:p>
    <w:p w14:paraId="6A89D433" w14:textId="77777777" w:rsidR="00E35ED4" w:rsidRPr="0047352D" w:rsidRDefault="00637790">
      <w:r w:rsidRPr="0047352D">
        <w:t>Dans le jeu, cela pourrait se traduire par 5 jetons que possèderait chaque joueur en début de matc</w:t>
      </w:r>
      <w:r w:rsidRPr="0047352D">
        <w:t>h, un par poste, et qu’il pourrait jouer à n’importe quel moment de la partie (en le retournant).</w:t>
      </w:r>
    </w:p>
    <w:p w14:paraId="449E8C8F" w14:textId="77777777" w:rsidR="00E35ED4" w:rsidRPr="0047352D" w:rsidRDefault="00637790">
      <w:r w:rsidRPr="0047352D">
        <w:t>Lorsqu’il déclenche un “</w:t>
      </w:r>
      <w:proofErr w:type="spellStart"/>
      <w:r w:rsidRPr="0047352D">
        <w:t>mismatch</w:t>
      </w:r>
      <w:proofErr w:type="spellEnd"/>
      <w:r w:rsidRPr="0047352D">
        <w:t xml:space="preserve">”, le joueur lance tous les dés d’attaque de son joueur au poste correspondant au jeton joué, et son adversaire lance les dés </w:t>
      </w:r>
      <w:r w:rsidRPr="0047352D">
        <w:t>de défense du joueur au même poste.</w:t>
      </w:r>
    </w:p>
    <w:p w14:paraId="1183103C" w14:textId="77777777" w:rsidR="00E35ED4" w:rsidRPr="0047352D" w:rsidRDefault="00637790">
      <w:pPr>
        <w:jc w:val="left"/>
      </w:pPr>
      <w:r w:rsidRPr="0047352D">
        <w:t>Le joueur actif marque alors la différence entre ses dés d’attaque et les dés de défense de l’adversaire.</w:t>
      </w:r>
    </w:p>
    <w:p w14:paraId="6C128FCE" w14:textId="77777777" w:rsidR="00E35ED4" w:rsidRPr="0047352D" w:rsidRDefault="00637790">
      <w:r w:rsidRPr="0047352D">
        <w:t>On peut également décider de limiter ce mini-jeu à 2 ou 3 jetons à jouer parmi les 5 au cours d’une partie.</w:t>
      </w:r>
    </w:p>
    <w:p w14:paraId="1F23D304" w14:textId="77777777" w:rsidR="00E35ED4" w:rsidRPr="0047352D" w:rsidRDefault="00637790">
      <w:pPr>
        <w:pStyle w:val="Titre2"/>
        <w:jc w:val="left"/>
      </w:pPr>
      <w:bookmarkStart w:id="14" w:name="_im2lqx7ak6mr" w:colFirst="0" w:colLast="0"/>
      <w:bookmarkEnd w:id="14"/>
      <w:r w:rsidRPr="0047352D">
        <w:t>Jeu à plus de 2 joueurs (avec 2 boîtes de base)</w:t>
      </w:r>
    </w:p>
    <w:p w14:paraId="3C62F9A0" w14:textId="77777777" w:rsidR="00E35ED4" w:rsidRPr="0047352D" w:rsidRDefault="00637790">
      <w:r w:rsidRPr="0047352D">
        <w:t>On peut facilement décliner le jeu en un jeu à plus de 2 joueurs. Il est néanmoins préférable de lim</w:t>
      </w:r>
      <w:r w:rsidRPr="0047352D">
        <w:t>iter à 4 pour ne pas allonger trop la durée de partie. Pour cela il faut posséder 1 boîte de base supplémentaire pour tous les 2 joueurs ajoutés.</w:t>
      </w:r>
    </w:p>
    <w:p w14:paraId="3C0F394E" w14:textId="77777777" w:rsidR="00E35ED4" w:rsidRPr="0047352D" w:rsidRDefault="00637790">
      <w:r w:rsidRPr="0047352D">
        <w:t>La mise en place demandera de mettre un nombre de cartes au départ proportionnelles au nombre de joueurs en pl</w:t>
      </w:r>
      <w:r w:rsidRPr="0047352D">
        <w:t>us (30 cartes pour 3 joueurs, 40 pour 4 joueurs).</w:t>
      </w:r>
    </w:p>
    <w:p w14:paraId="2F16386F" w14:textId="77777777" w:rsidR="00E35ED4" w:rsidRPr="0047352D" w:rsidRDefault="00637790">
      <w:r w:rsidRPr="0047352D">
        <w:t>Le calcul du score se fera sur plusieurs matchs simultanément : chaque joueur joue 1 match contre chacun de ses adversaires ; il faudra donc autant de feuilles de score (ou alors les feuilles de score perme</w:t>
      </w:r>
      <w:r w:rsidRPr="0047352D">
        <w:t>ttront de compter plusieurs matchs).</w:t>
      </w:r>
    </w:p>
    <w:p w14:paraId="027FBEAA" w14:textId="77777777" w:rsidR="00E35ED4" w:rsidRPr="0047352D" w:rsidRDefault="00637790">
      <w:r w:rsidRPr="0047352D">
        <w:t>La résolution des attaques se fera de la manière suivante : un joueur au début de son tour marque ses points contre chacun de ses adversaires en même temps, et les dés de défense d’un joueur compte contre tous ses adver</w:t>
      </w:r>
      <w:r w:rsidRPr="0047352D">
        <w:t>saires jusqu’au début de son prochain tour.</w:t>
      </w:r>
    </w:p>
    <w:p w14:paraId="79C2260B" w14:textId="77777777" w:rsidR="00E35ED4" w:rsidRPr="0047352D" w:rsidRDefault="00637790">
      <w:pPr>
        <w:pStyle w:val="Titre2"/>
        <w:jc w:val="left"/>
      </w:pPr>
      <w:bookmarkStart w:id="15" w:name="_sn2q3di95oyl" w:colFirst="0" w:colLast="0"/>
      <w:bookmarkEnd w:id="15"/>
      <w:r w:rsidRPr="0047352D">
        <w:t>Variante solo</w:t>
      </w:r>
    </w:p>
    <w:p w14:paraId="283A6D3C" w14:textId="77777777" w:rsidR="00E35ED4" w:rsidRPr="0047352D" w:rsidRDefault="00637790">
      <w:r w:rsidRPr="0047352D">
        <w:t>Une variante solo permettrait d’affronter une équipe adverse qui jouerait de manière très simple, en progressant régulièrement au fur et à mesure de la partie.</w:t>
      </w:r>
    </w:p>
    <w:p w14:paraId="647D5D4D" w14:textId="77777777" w:rsidR="00E35ED4" w:rsidRPr="0047352D" w:rsidRDefault="00637790">
      <w:r w:rsidRPr="0047352D">
        <w:lastRenderedPageBreak/>
        <w:t xml:space="preserve">Le jeu </w:t>
      </w:r>
      <w:proofErr w:type="spellStart"/>
      <w:r w:rsidRPr="0047352D">
        <w:t>incluera</w:t>
      </w:r>
      <w:proofErr w:type="spellEnd"/>
      <w:r w:rsidRPr="0047352D">
        <w:t xml:space="preserve"> des cartes “Profil IA”</w:t>
      </w:r>
      <w:r w:rsidRPr="0047352D">
        <w:t xml:space="preserve"> qui détaillent le comportement du joueur IA (Intelligence Artificielle) pour toute la partie.</w:t>
      </w:r>
    </w:p>
    <w:p w14:paraId="38715041" w14:textId="77777777" w:rsidR="00E35ED4" w:rsidRPr="0047352D" w:rsidRDefault="00637790">
      <w:r w:rsidRPr="0047352D">
        <w:t xml:space="preserve">Le joueur IA ne possède pas de main de cartes ni de pioche, mais juste ses titulaires sur le terrain et ses 5 cartes Tactique de base posées sur son terrain. Un </w:t>
      </w:r>
      <w:r w:rsidRPr="0047352D">
        <w:t>compteur de “ressource” est initialisé selon le niveau de difficulté choisi. A chaque début de son tour, le compteur est incrémenté de 1.</w:t>
      </w:r>
    </w:p>
    <w:p w14:paraId="6E209C10" w14:textId="77777777" w:rsidR="00E35ED4" w:rsidRPr="0047352D" w:rsidRDefault="00637790">
      <w:r w:rsidRPr="0047352D">
        <w:t>Au début du tour du joueur “humain”, on ajoute deux cartes au marché Joueur, et les cartes retirées du marché, au lieu</w:t>
      </w:r>
      <w:r w:rsidRPr="0047352D">
        <w:t xml:space="preserve"> d’être défaussées sont données à l’IA.</w:t>
      </w:r>
    </w:p>
    <w:p w14:paraId="740FF278" w14:textId="77777777" w:rsidR="00E35ED4" w:rsidRPr="0047352D" w:rsidRDefault="00637790">
      <w:r w:rsidRPr="0047352D">
        <w:t xml:space="preserve">Au tour de l’IA, il pioche des cartes du paquet de cartes Joueur non utilisées pour compléter celles qu’il a reçues du tour du joueur à 3. Suivant le profil de l’IA, et le niveau de ressource affiché par le compteur </w:t>
      </w:r>
      <w:r w:rsidRPr="0047352D">
        <w:t>de ressources, il essayera de recruter la carte la plus pertinente parmi ces 3 cartes, et la posera sur son terrain à la place de son titulaire au même poste. Ensuite les cartes restantes sont mises dans la défausse du marché joueur.</w:t>
      </w:r>
    </w:p>
    <w:p w14:paraId="22D5CBB9" w14:textId="77777777" w:rsidR="00E35ED4" w:rsidRPr="0047352D" w:rsidRDefault="00637790">
      <w:r w:rsidRPr="0047352D">
        <w:t xml:space="preserve">Il essayera également avec les mêmes ressources d’acheter une carte Tactique du marché selon son profil. Si aucune carte ne peut être achetée ou si aucune n’améliore celles qu’il a déjà sur son terrain, les cartes du marché Tactique sont toutes remplacées </w:t>
      </w:r>
      <w:r w:rsidRPr="0047352D">
        <w:t>et une nouvelle sélection est faite. La carte choisie remplace sur son terrain celle du même type.</w:t>
      </w:r>
    </w:p>
    <w:p w14:paraId="7EF541DC" w14:textId="77777777" w:rsidR="00E35ED4" w:rsidRPr="0047352D" w:rsidRDefault="00637790">
      <w:r w:rsidRPr="0047352D">
        <w:t xml:space="preserve">Enfin, l’IA active une tactique offensive et une défensive selon son profil et son niveau collectif. l’IA ne relance pas de dés en défense, mais relance les </w:t>
      </w:r>
      <w:r w:rsidRPr="0047352D">
        <w:t>dés offensifs si son niveau aux rebonds le permet, et uniquement pour les scores nuls ou de la mauvaise couleur.</w:t>
      </w:r>
    </w:p>
    <w:p w14:paraId="21EC83F8" w14:textId="77777777" w:rsidR="00E35ED4" w:rsidRPr="0047352D" w:rsidRDefault="00637790">
      <w:pPr>
        <w:pStyle w:val="Titre3"/>
        <w:spacing w:before="280" w:after="80"/>
        <w:jc w:val="left"/>
      </w:pPr>
      <w:bookmarkStart w:id="16" w:name="_400ny6khvn11" w:colFirst="0" w:colLast="0"/>
      <w:bookmarkEnd w:id="16"/>
      <w:r w:rsidRPr="0047352D">
        <w:t>Mode campagne</w:t>
      </w:r>
    </w:p>
    <w:p w14:paraId="098F7C11" w14:textId="77777777" w:rsidR="00E35ED4" w:rsidRPr="0047352D" w:rsidRDefault="00637790">
      <w:r w:rsidRPr="0047352D">
        <w:t>Un mode campagne peut également être joué, consistant à affronter une IA d’un niveau de plus en plus élevé (un niveau de ressourc</w:t>
      </w:r>
      <w:r w:rsidRPr="0047352D">
        <w:t>e initial supérieur de 1 à la précédente). Le but étant d’aller le plus loin possible, le joueur perdant dès qu’il perd un match.</w:t>
      </w:r>
    </w:p>
    <w:p w14:paraId="609749C7" w14:textId="77777777" w:rsidR="00E35ED4" w:rsidRPr="0047352D" w:rsidRDefault="00637790">
      <w:r w:rsidRPr="0047352D">
        <w:t>A la fin de chaque match, le joueur est autorisé à garder dans son équipe une carte Joueur et une carte Tactique d’un coût inf</w:t>
      </w:r>
      <w:r w:rsidRPr="0047352D">
        <w:t>érieur ou égal au niveau initial de l’IA pour le match suivant, remplaçant ainsi une des cartes de base.</w:t>
      </w:r>
    </w:p>
    <w:p w14:paraId="26F63A93" w14:textId="77777777" w:rsidR="00E35ED4" w:rsidRPr="0047352D" w:rsidRDefault="00637790">
      <w:pPr>
        <w:pStyle w:val="Titre2"/>
        <w:jc w:val="left"/>
      </w:pPr>
      <w:bookmarkStart w:id="17" w:name="_616jpl94mhim" w:colFirst="0" w:colLast="0"/>
      <w:bookmarkEnd w:id="17"/>
      <w:r w:rsidRPr="0047352D">
        <w:t>Profil coach (et pouvoirs particuliers)</w:t>
      </w:r>
    </w:p>
    <w:p w14:paraId="4F31E6BA" w14:textId="77777777" w:rsidR="00E35ED4" w:rsidRPr="0047352D" w:rsidRDefault="00637790">
      <w:r w:rsidRPr="0047352D">
        <w:t>Chaque joueur pourrait piocher au hasard ou choisir au départ un profil de coach NBA existant, qui lui apporter</w:t>
      </w:r>
      <w:r w:rsidRPr="0047352D">
        <w:t>ait un avantage tout au long du match.</w:t>
      </w:r>
    </w:p>
    <w:p w14:paraId="486D58CB" w14:textId="77777777" w:rsidR="00E35ED4" w:rsidRPr="0047352D" w:rsidRDefault="00637790">
      <w:r w:rsidRPr="0047352D">
        <w:t>Des exemples de tels pouvoirs :</w:t>
      </w:r>
    </w:p>
    <w:p w14:paraId="25F43AD1" w14:textId="77777777" w:rsidR="00E35ED4" w:rsidRPr="0047352D" w:rsidRDefault="00637790">
      <w:pPr>
        <w:numPr>
          <w:ilvl w:val="0"/>
          <w:numId w:val="3"/>
        </w:numPr>
      </w:pPr>
      <w:r w:rsidRPr="0047352D">
        <w:t>Augmenter de 1 le niveau collectif global de l’équipe</w:t>
      </w:r>
    </w:p>
    <w:p w14:paraId="258119F3" w14:textId="77777777" w:rsidR="00E35ED4" w:rsidRPr="0047352D" w:rsidRDefault="00637790">
      <w:pPr>
        <w:numPr>
          <w:ilvl w:val="0"/>
          <w:numId w:val="3"/>
        </w:numPr>
      </w:pPr>
      <w:r w:rsidRPr="0047352D">
        <w:t>Augmenter de 1 le niveau aux Rebonds de l’équipe</w:t>
      </w:r>
    </w:p>
    <w:p w14:paraId="64CD57B1" w14:textId="77777777" w:rsidR="00E35ED4" w:rsidRPr="0047352D" w:rsidRDefault="00637790">
      <w:pPr>
        <w:numPr>
          <w:ilvl w:val="0"/>
          <w:numId w:val="3"/>
        </w:numPr>
      </w:pPr>
      <w:r w:rsidRPr="0047352D">
        <w:t>Permettre l’achat d’une deuxième tactique en plus de la première, pour un coût maj</w:t>
      </w:r>
      <w:r w:rsidRPr="0047352D">
        <w:t>oré.</w:t>
      </w:r>
    </w:p>
    <w:p w14:paraId="34AA0807" w14:textId="77777777" w:rsidR="00E35ED4" w:rsidRPr="0047352D" w:rsidRDefault="00637790">
      <w:pPr>
        <w:numPr>
          <w:ilvl w:val="0"/>
          <w:numId w:val="3"/>
        </w:numPr>
      </w:pPr>
      <w:r w:rsidRPr="0047352D">
        <w:t>Permettre l’achat de joueur d’un certain profil (au moins 3 en Stop par exemple) pour 1 pièce de moins.</w:t>
      </w:r>
    </w:p>
    <w:p w14:paraId="7A02CF81" w14:textId="77777777" w:rsidR="00E35ED4" w:rsidRPr="0047352D" w:rsidRDefault="00637790">
      <w:pPr>
        <w:numPr>
          <w:ilvl w:val="0"/>
          <w:numId w:val="3"/>
        </w:numPr>
      </w:pPr>
      <w:r w:rsidRPr="0047352D">
        <w:t>Piocher 7 cartes au début de son tour et en remettre une sur la pioche.</w:t>
      </w:r>
    </w:p>
    <w:p w14:paraId="58DF7555" w14:textId="77777777" w:rsidR="00E35ED4" w:rsidRPr="0047352D" w:rsidRDefault="00637790">
      <w:pPr>
        <w:numPr>
          <w:ilvl w:val="0"/>
          <w:numId w:val="3"/>
        </w:numPr>
      </w:pPr>
      <w:r w:rsidRPr="0047352D">
        <w:t>Avoir une relance gratuite pour un certain type de d’action (déclinable en 6 versions, donc)</w:t>
      </w:r>
    </w:p>
    <w:p w14:paraId="0FA52642" w14:textId="77777777" w:rsidR="00E35ED4" w:rsidRPr="0047352D" w:rsidRDefault="00637790">
      <w:pPr>
        <w:pStyle w:val="Titre2"/>
        <w:jc w:val="left"/>
      </w:pPr>
      <w:bookmarkStart w:id="18" w:name="_bpb6k2s1egil" w:colFirst="0" w:colLast="0"/>
      <w:bookmarkEnd w:id="18"/>
      <w:r w:rsidRPr="0047352D">
        <w:lastRenderedPageBreak/>
        <w:t>Mode tournoi (</w:t>
      </w:r>
      <w:proofErr w:type="spellStart"/>
      <w:r w:rsidRPr="0047352D">
        <w:t>Legacy</w:t>
      </w:r>
      <w:proofErr w:type="spellEnd"/>
      <w:r w:rsidRPr="0047352D">
        <w:t>)</w:t>
      </w:r>
    </w:p>
    <w:p w14:paraId="4DB9666D" w14:textId="77777777" w:rsidR="00E35ED4" w:rsidRPr="0047352D" w:rsidRDefault="00637790">
      <w:r w:rsidRPr="0047352D">
        <w:t>Sur le modèle du mode solo-campagne, de nombreux joueurs s'affrontent en tournoi, et à la fin de chaque tour sont autorisés à garder une cart</w:t>
      </w:r>
      <w:r w:rsidRPr="0047352D">
        <w:t>e Joueur et une carte Tactique d’un coût inférieur ou égal à un seuil fixé pour chaque étape du tournoi. Ces cartes devront remplacer des cartes de départ du joueur, afin de garder 12 cartes dans la pioche de départ.</w:t>
      </w:r>
    </w:p>
    <w:p w14:paraId="5C9B4321" w14:textId="77777777" w:rsidR="00E35ED4" w:rsidRPr="0047352D" w:rsidRDefault="00637790">
      <w:pPr>
        <w:pStyle w:val="Titre2"/>
        <w:jc w:val="left"/>
      </w:pPr>
      <w:bookmarkStart w:id="19" w:name="_ooyq8aofxetc" w:colFirst="0" w:colLast="0"/>
      <w:bookmarkEnd w:id="19"/>
      <w:r w:rsidRPr="0047352D">
        <w:t>Joueurs décisifs</w:t>
      </w:r>
    </w:p>
    <w:p w14:paraId="4B6B3988" w14:textId="77777777" w:rsidR="00E35ED4" w:rsidRPr="0047352D" w:rsidRDefault="00637790">
      <w:pPr>
        <w:rPr>
          <w:i/>
        </w:rPr>
      </w:pPr>
      <w:r w:rsidRPr="0047352D">
        <w:rPr>
          <w:i/>
        </w:rPr>
        <w:t xml:space="preserve">[Certains joueurs ont </w:t>
      </w:r>
      <w:r w:rsidRPr="0047352D">
        <w:rPr>
          <w:i/>
        </w:rPr>
        <w:t>pour habitude d’élever leur niveau de jeu dans les derniers instants d’un match.]</w:t>
      </w:r>
    </w:p>
    <w:p w14:paraId="6B8AE980" w14:textId="77777777" w:rsidR="00E35ED4" w:rsidRPr="0047352D" w:rsidRDefault="00637790">
      <w:r w:rsidRPr="0047352D">
        <w:t>Pour refléter cela, certaines cartes pourraient avoir une icône “médaille” en haut à droite de la carte. Celle-ci permettrait, durant la phase de Money-time (les 6 derniers t</w:t>
      </w:r>
      <w:r w:rsidRPr="0047352D">
        <w:t>ours, lorsqu’il n’y a plus de cartes dans la pioche du marché Joueur) de relancer gratuitement des dés d’attaque en plus de ceux octroyés par les Rebonds.</w:t>
      </w:r>
    </w:p>
    <w:p w14:paraId="4B2CBE33" w14:textId="77777777" w:rsidR="00E35ED4" w:rsidRPr="0047352D" w:rsidRDefault="00637790">
      <w:r w:rsidRPr="0047352D">
        <w:t>Ces joueurs coûteraient et vaudraient 1 de plus.</w:t>
      </w:r>
    </w:p>
    <w:p w14:paraId="0E89772F" w14:textId="77777777" w:rsidR="00E35ED4" w:rsidRPr="0047352D" w:rsidRDefault="00E35ED4">
      <w:pPr>
        <w:jc w:val="left"/>
      </w:pPr>
    </w:p>
    <w:sectPr w:rsidR="00E35ED4" w:rsidRPr="0047352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5138C" w14:textId="77777777" w:rsidR="00637790" w:rsidRDefault="00637790">
      <w:pPr>
        <w:spacing w:line="240" w:lineRule="auto"/>
      </w:pPr>
      <w:r>
        <w:separator/>
      </w:r>
    </w:p>
  </w:endnote>
  <w:endnote w:type="continuationSeparator" w:id="0">
    <w:p w14:paraId="72A5185A" w14:textId="77777777" w:rsidR="00637790" w:rsidRDefault="00637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omfortaa Regular">
    <w:charset w:val="00"/>
    <w:family w:val="auto"/>
    <w:pitch w:val="default"/>
  </w:font>
  <w:font w:name="Permanent Mark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98B10" w14:textId="77777777" w:rsidR="00E35ED4" w:rsidRDefault="00637790">
    <w:pPr>
      <w:ind w:left="9360" w:right="-720"/>
      <w:rPr>
        <w:b/>
      </w:rPr>
    </w:pPr>
    <w:r>
      <w:t xml:space="preserve">         </w:t>
    </w:r>
  </w:p>
  <w:p w14:paraId="1318B91C" w14:textId="77777777" w:rsidR="00E35ED4" w:rsidRDefault="00637790">
    <w:pPr>
      <w:ind w:left="9360" w:right="-720"/>
      <w:rPr>
        <w:b/>
      </w:rPr>
    </w:pPr>
    <w:r>
      <w:rPr>
        <w:b/>
      </w:rPr>
      <w:fldChar w:fldCharType="begin"/>
    </w:r>
    <w:r>
      <w:rPr>
        <w:b/>
      </w:rPr>
      <w:instrText>PAGE</w:instrText>
    </w:r>
    <w:r w:rsidR="0047352D">
      <w:rPr>
        <w:b/>
      </w:rPr>
      <w:fldChar w:fldCharType="separate"/>
    </w:r>
    <w:r w:rsidR="0047352D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E4BC" w14:textId="77777777" w:rsidR="00E35ED4" w:rsidRDefault="00637790">
    <w:pPr>
      <w:jc w:val="right"/>
    </w:pPr>
    <w:r>
      <w:rPr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4CDAA" w14:textId="77777777" w:rsidR="00637790" w:rsidRDefault="00637790">
      <w:pPr>
        <w:spacing w:line="240" w:lineRule="auto"/>
      </w:pPr>
      <w:r>
        <w:separator/>
      </w:r>
    </w:p>
  </w:footnote>
  <w:footnote w:type="continuationSeparator" w:id="0">
    <w:p w14:paraId="61F4F941" w14:textId="77777777" w:rsidR="00637790" w:rsidRDefault="006377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2719" w14:textId="77777777" w:rsidR="00E35ED4" w:rsidRDefault="00637790">
    <w:pPr>
      <w:ind w:left="-990" w:right="-1080"/>
      <w:rPr>
        <w:rFonts w:ascii="Permanent Marker" w:eastAsia="Permanent Marker" w:hAnsi="Permanent Marker" w:cs="Permanent Marker"/>
        <w:color w:val="073763"/>
        <w:sz w:val="22"/>
        <w:szCs w:val="22"/>
      </w:rPr>
    </w:pPr>
    <w:r>
      <w:rPr>
        <w:rFonts w:ascii="Permanent Marker" w:eastAsia="Permanent Marker" w:hAnsi="Permanent Marker" w:cs="Permanent Marker"/>
        <w:color w:val="660000"/>
        <w:sz w:val="22"/>
        <w:szCs w:val="22"/>
      </w:rPr>
      <w:t>NBA Deck-Building - Variantes et Évolut</w:t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>ions futures</w:t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ab/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ab/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ab/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ab/>
    </w:r>
    <w:r>
      <w:rPr>
        <w:rFonts w:ascii="Permanent Marker" w:eastAsia="Permanent Marker" w:hAnsi="Permanent Marker" w:cs="Permanent Marker"/>
        <w:color w:val="660000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1ED16" w14:textId="77777777" w:rsidR="00E35ED4" w:rsidRDefault="00E35E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D34E3"/>
    <w:multiLevelType w:val="multilevel"/>
    <w:tmpl w:val="56B4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11119"/>
    <w:multiLevelType w:val="multilevel"/>
    <w:tmpl w:val="1D165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431958"/>
    <w:multiLevelType w:val="multilevel"/>
    <w:tmpl w:val="15F496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A6651E"/>
    <w:multiLevelType w:val="multilevel"/>
    <w:tmpl w:val="F9969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ED4"/>
    <w:rsid w:val="0047352D"/>
    <w:rsid w:val="00637790"/>
    <w:rsid w:val="00E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266A"/>
  <w15:docId w15:val="{5726D15D-D328-43D4-83DD-38B8FE24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" w:eastAsia="fr-FR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omfortaa" w:eastAsia="Comfortaa" w:hAnsi="Comfortaa" w:cs="Comfortaa"/>
      <w:b/>
      <w:color w:val="990000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Comfortaa Regular" w:eastAsia="Comfortaa Regular" w:hAnsi="Comfortaa Regular" w:cs="Comfortaa Regular"/>
      <w:color w:val="073763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00" w:after="200"/>
      <w:outlineLvl w:val="2"/>
    </w:pPr>
    <w:rPr>
      <w:rFonts w:ascii="Comfortaa" w:eastAsia="Comfortaa" w:hAnsi="Comfortaa" w:cs="Comfortaa"/>
      <w:color w:val="134F5C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100"/>
      <w:outlineLvl w:val="3"/>
    </w:pPr>
    <w:rPr>
      <w:rFonts w:ascii="Comfortaa" w:eastAsia="Comfortaa" w:hAnsi="Comfortaa" w:cs="Comfortaa"/>
      <w:color w:val="434343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1649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</cp:lastModifiedBy>
  <cp:revision>2</cp:revision>
  <cp:lastPrinted>2019-11-16T11:03:00Z</cp:lastPrinted>
  <dcterms:created xsi:type="dcterms:W3CDTF">2019-11-16T11:02:00Z</dcterms:created>
  <dcterms:modified xsi:type="dcterms:W3CDTF">2019-11-16T11:09:00Z</dcterms:modified>
</cp:coreProperties>
</file>