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9FA0E"/>
    <w:p w14:paraId="60896038"/>
    <w:p w14:paraId="3F621F14">
      <w:pPr>
        <w:kinsoku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Times New Roman Bold" w:hAnsi="Times New Roman Bold" w:eastAsia="方正小标宋简体" w:cs="Times New Roman Bold"/>
          <w:b/>
          <w:bCs/>
          <w:color w:val="000000"/>
          <w:sz w:val="44"/>
          <w:szCs w:val="44"/>
        </w:rPr>
      </w:pPr>
    </w:p>
    <w:p w14:paraId="324F1D88">
      <w:pPr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Times New Roman Bold" w:hAnsi="Times New Roman Bold" w:eastAsia="方正小标宋简体" w:cs="Times New Roman Bold"/>
          <w:b/>
          <w:bCs/>
          <w:color w:val="000000"/>
          <w:sz w:val="44"/>
          <w:szCs w:val="44"/>
        </w:rPr>
      </w:pPr>
    </w:p>
    <w:p w14:paraId="202CA707">
      <w:pPr>
        <w:kinsoku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Times New Roman Bold" w:hAnsi="Times New Roman Bold" w:eastAsia="方正小标宋简体" w:cs="Times New Roman Bold"/>
          <w:b/>
          <w:bCs/>
          <w:color w:val="000000"/>
          <w:sz w:val="44"/>
          <w:szCs w:val="44"/>
        </w:rPr>
      </w:pPr>
    </w:p>
    <w:p w14:paraId="6C1068FE">
      <w:pPr>
        <w:kinsoku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Times New Roman Bold" w:hAnsi="Times New Roman Bold" w:eastAsia="方正小标宋简体" w:cs="Times New Roman Bold"/>
          <w:b/>
          <w:bCs/>
          <w:color w:val="000000"/>
          <w:sz w:val="44"/>
          <w:szCs w:val="44"/>
        </w:rPr>
      </w:pPr>
    </w:p>
    <w:p w14:paraId="1E0919D4">
      <w:pPr>
        <w:kinsoku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Times New Roman Bold Italic" w:hAnsi="Times New Roman Bold Italic" w:eastAsia="Arial" w:cs="Times New Roman Bold Italic"/>
          <w:b/>
          <w:bCs/>
          <w:color w:val="000000"/>
          <w:sz w:val="20"/>
          <w:szCs w:val="20"/>
        </w:rPr>
      </w:pPr>
      <w:r>
        <w:rPr>
          <w:rFonts w:ascii="Times New Roman Bold" w:hAnsi="Times New Roman Bold" w:eastAsia="方正小标宋简体" w:cs="Times New Roman Bold"/>
          <w:b/>
          <w:bCs/>
          <w:color w:val="000000"/>
          <w:sz w:val="44"/>
          <w:szCs w:val="44"/>
        </w:rPr>
        <w:t>教育教学创新</w:t>
      </w:r>
      <w:r>
        <w:rPr>
          <w:rFonts w:hint="eastAsia" w:ascii="Times New Roman Bold" w:hAnsi="Times New Roman Bold" w:eastAsia="方正小标宋简体" w:cs="Times New Roman Bold"/>
          <w:b/>
          <w:bCs/>
          <w:color w:val="000000"/>
          <w:sz w:val="44"/>
          <w:szCs w:val="44"/>
          <w:lang w:eastAsia="zh"/>
          <w:woUserID w:val="1"/>
        </w:rPr>
        <w:t>应用典型</w:t>
      </w:r>
      <w:r>
        <w:rPr>
          <w:rFonts w:ascii="Times New Roman Bold" w:hAnsi="Times New Roman Bold" w:eastAsia="方正小标宋简体" w:cs="Times New Roman Bold"/>
          <w:b/>
          <w:bCs/>
          <w:color w:val="000000"/>
          <w:sz w:val="44"/>
          <w:szCs w:val="44"/>
        </w:rPr>
        <w:t>案例申报书</w:t>
      </w:r>
    </w:p>
    <w:p w14:paraId="5E30A518">
      <w:pPr>
        <w:kinsoku w:val="0"/>
        <w:autoSpaceDE w:val="0"/>
        <w:autoSpaceDN w:val="0"/>
        <w:adjustRightInd w:val="0"/>
        <w:snapToGrid w:val="0"/>
        <w:spacing w:line="360" w:lineRule="auto"/>
        <w:jc w:val="both"/>
        <w:textAlignment w:val="baseline"/>
        <w:rPr>
          <w:rFonts w:ascii="Times New Roman" w:hAnsi="Times New Roman" w:eastAsia="Arial" w:cs="Times New Roman"/>
          <w:color w:val="000000"/>
          <w:sz w:val="21"/>
          <w:szCs w:val="21"/>
        </w:rPr>
      </w:pPr>
      <w:r>
        <w:rPr>
          <w:rFonts w:ascii="Times New Roman" w:hAnsi="Times New Roman" w:eastAsia="Arial" w:cs="Times New Roman"/>
          <w:color w:val="000000"/>
          <w:sz w:val="21"/>
          <w:szCs w:val="21"/>
        </w:rPr>
        <w:t xml:space="preserve"> </w:t>
      </w:r>
    </w:p>
    <w:p w14:paraId="0B3A63B6">
      <w:pPr>
        <w:kinsoku w:val="0"/>
        <w:autoSpaceDE w:val="0"/>
        <w:autoSpaceDN w:val="0"/>
        <w:adjustRightInd w:val="0"/>
        <w:snapToGrid w:val="0"/>
        <w:spacing w:line="360" w:lineRule="auto"/>
        <w:jc w:val="both"/>
        <w:textAlignment w:val="baseline"/>
        <w:rPr>
          <w:rFonts w:ascii="Times New Roman" w:hAnsi="Times New Roman" w:eastAsia="Arial" w:cs="Times New Roman"/>
          <w:color w:val="000000"/>
          <w:sz w:val="32"/>
          <w:szCs w:val="32"/>
        </w:rPr>
      </w:pPr>
      <w:r>
        <w:rPr>
          <w:rFonts w:ascii="Times New Roman" w:hAnsi="Times New Roman" w:eastAsia="Arial" w:cs="Times New Roman"/>
          <w:color w:val="000000"/>
          <w:sz w:val="21"/>
          <w:szCs w:val="21"/>
        </w:rPr>
        <w:t xml:space="preserve"> </w:t>
      </w:r>
    </w:p>
    <w:p w14:paraId="77AFCE2E">
      <w:pPr>
        <w:kinsoku w:val="0"/>
        <w:autoSpaceDE w:val="0"/>
        <w:autoSpaceDN w:val="0"/>
        <w:adjustRightInd w:val="0"/>
        <w:snapToGrid w:val="0"/>
        <w:spacing w:line="360" w:lineRule="auto"/>
        <w:ind w:left="0" w:leftChars="0" w:firstLine="0" w:firstLineChars="0"/>
        <w:jc w:val="both"/>
        <w:textAlignment w:val="baseline"/>
        <w:rPr>
          <w:rFonts w:ascii="Times New Roman" w:hAnsi="Times New Roman" w:eastAsia="仿宋" w:cs="Times New Roman"/>
          <w:color w:val="000000"/>
          <w:spacing w:val="1"/>
          <w:sz w:val="32"/>
          <w:szCs w:val="32"/>
        </w:rPr>
      </w:pPr>
    </w:p>
    <w:p w14:paraId="2E85AA48">
      <w:pPr>
        <w:kinsoku w:val="0"/>
        <w:autoSpaceDE w:val="0"/>
        <w:autoSpaceDN w:val="0"/>
        <w:adjustRightInd w:val="0"/>
        <w:snapToGrid w:val="0"/>
        <w:spacing w:line="360" w:lineRule="auto"/>
        <w:ind w:firstLine="644" w:firstLineChars="200"/>
        <w:jc w:val="both"/>
        <w:textAlignment w:val="baseline"/>
        <w:rPr>
          <w:rFonts w:ascii="Times New Roman" w:hAnsi="Times New Roman" w:eastAsia="仿宋" w:cs="Times New Roman"/>
          <w:color w:val="000000"/>
          <w:spacing w:val="1"/>
          <w:sz w:val="32"/>
          <w:szCs w:val="32"/>
        </w:rPr>
      </w:pPr>
    </w:p>
    <w:p w14:paraId="58E25177">
      <w:pPr>
        <w:kinsoku w:val="0"/>
        <w:autoSpaceDE w:val="0"/>
        <w:autoSpaceDN w:val="0"/>
        <w:adjustRightInd w:val="0"/>
        <w:snapToGrid w:val="0"/>
        <w:spacing w:line="360" w:lineRule="auto"/>
        <w:ind w:firstLine="644" w:firstLineChars="200"/>
        <w:jc w:val="both"/>
        <w:textAlignment w:val="baseline"/>
        <w:rPr>
          <w:rFonts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ascii="Times New Roman" w:hAnsi="Times New Roman" w:eastAsia="仿宋_GB2312"/>
          <w:b w:val="0"/>
          <w:sz w:val="26"/>
        </w:rPr>
        <w:t>案例名称：</w:t>
      </w:r>
      <w:r>
        <w:rPr>
          <w:rFonts w:ascii="Times New Roman" w:hAnsi="Times New Roman" w:eastAsia="仿宋_GB2312"/>
          <w:b w:val="0"/>
          <w:sz w:val="26"/>
        </w:rPr>
        <w:t xml:space="preserve"> 智答·智诊·智练：《电磁场与电磁波》课后智能个性指导</w:t>
      </w:r>
    </w:p>
    <w:p w14:paraId="165E559A">
      <w:pPr>
        <w:kinsoku w:val="0"/>
        <w:autoSpaceDE w:val="0"/>
        <w:autoSpaceDN w:val="0"/>
        <w:adjustRightInd w:val="0"/>
        <w:snapToGrid w:val="0"/>
        <w:spacing w:line="360" w:lineRule="auto"/>
        <w:ind w:firstLine="640" w:firstLineChars="200"/>
        <w:jc w:val="both"/>
        <w:textAlignment w:val="baseline"/>
        <w:rPr>
          <w:rFonts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sz w:val="32"/>
          <w:szCs w:val="32"/>
        </w:rPr>
        <w:t xml:space="preserve"> </w:t>
      </w:r>
    </w:p>
    <w:p w14:paraId="51C78F0C">
      <w:pPr>
        <w:kinsoku w:val="0"/>
        <w:autoSpaceDE w:val="0"/>
        <w:autoSpaceDN w:val="0"/>
        <w:adjustRightInd w:val="0"/>
        <w:snapToGrid w:val="0"/>
        <w:spacing w:line="360" w:lineRule="auto"/>
        <w:ind w:firstLine="644" w:firstLineChars="200"/>
        <w:jc w:val="both"/>
        <w:textAlignment w:val="baseline"/>
        <w:rPr>
          <w:rFonts w:ascii="Times New Roman" w:hAnsi="Times New Roman" w:eastAsia="仿宋" w:cs="Times New Roman"/>
          <w:color w:val="000000"/>
          <w:sz w:val="32"/>
          <w:szCs w:val="32"/>
          <w:u w:val="single"/>
        </w:rPr>
      </w:pPr>
      <w:r>
        <w:rPr>
          <w:rFonts w:ascii="Times New Roman" w:hAnsi="Times New Roman" w:eastAsia="仿宋_GB2312"/>
          <w:b w:val="0"/>
          <w:sz w:val="32"/>
        </w:rPr>
        <w:t>申报单位：</w:t>
      </w:r>
      <w:r>
        <w:rPr>
          <w:rFonts w:ascii="Times New Roman" w:hAnsi="Times New Roman" w:eastAsia="仿宋_GB2312"/>
          <w:b w:val="0"/>
          <w:sz w:val="32"/>
        </w:rPr>
        <w:t>北京邮电大学  信息与通信工程学院</w:t>
      </w:r>
    </w:p>
    <w:p w14:paraId="1572B481">
      <w:pPr>
        <w:kinsoku w:val="0"/>
        <w:autoSpaceDE w:val="0"/>
        <w:autoSpaceDN w:val="0"/>
        <w:adjustRightInd w:val="0"/>
        <w:snapToGrid w:val="0"/>
        <w:spacing w:line="360" w:lineRule="auto"/>
        <w:ind w:firstLine="640" w:firstLineChars="200"/>
        <w:jc w:val="both"/>
        <w:textAlignment w:val="baseline"/>
        <w:rPr>
          <w:rFonts w:ascii="Times New Roman" w:hAnsi="Times New Roman" w:eastAsia="仿宋" w:cs="Times New Roman"/>
          <w:color w:val="000000"/>
          <w:sz w:val="32"/>
          <w:szCs w:val="32"/>
          <w:u w:val="single"/>
        </w:rPr>
      </w:pPr>
    </w:p>
    <w:p w14:paraId="0AA0831B">
      <w:pPr>
        <w:kinsoku w:val="0"/>
        <w:autoSpaceDE w:val="0"/>
        <w:autoSpaceDN w:val="0"/>
        <w:adjustRightInd w:val="0"/>
        <w:snapToGrid w:val="0"/>
        <w:spacing w:line="360" w:lineRule="auto"/>
        <w:ind w:firstLine="640" w:firstLineChars="200"/>
        <w:jc w:val="both"/>
        <w:textAlignment w:val="baseline"/>
        <w:rPr>
          <w:rFonts w:ascii="Times New Roman" w:hAnsi="Times New Roman" w:eastAsia="仿宋" w:cs="Times New Roman"/>
          <w:color w:val="000000"/>
          <w:sz w:val="32"/>
          <w:szCs w:val="32"/>
          <w:u w:val="single"/>
        </w:rPr>
      </w:pPr>
      <w:r>
        <w:rPr>
          <w:rFonts w:ascii="Times New Roman" w:hAnsi="Times New Roman" w:eastAsia="仿宋_GB2312"/>
          <w:b w:val="0"/>
          <w:sz w:val="32"/>
        </w:rPr>
        <w:t>案例负责人：</w:t>
      </w:r>
      <w:r>
        <w:rPr>
          <w:rFonts w:ascii="Times New Roman" w:hAnsi="Times New Roman" w:eastAsia="仿宋_GB2312"/>
          <w:b w:val="0"/>
          <w:sz w:val="32"/>
        </w:rPr>
        <w:t>×××</w:t>
      </w:r>
    </w:p>
    <w:p w14:paraId="65CFD604">
      <w:pPr>
        <w:kinsoku w:val="0"/>
        <w:autoSpaceDE w:val="0"/>
        <w:autoSpaceDN w:val="0"/>
        <w:adjustRightInd w:val="0"/>
        <w:snapToGrid w:val="0"/>
        <w:spacing w:line="360" w:lineRule="auto"/>
        <w:ind w:firstLine="640" w:firstLineChars="200"/>
        <w:jc w:val="both"/>
        <w:textAlignment w:val="baseline"/>
        <w:rPr>
          <w:rFonts w:ascii="Times New Roman" w:hAnsi="Times New Roman" w:eastAsia="仿宋" w:cs="Times New Roman"/>
          <w:color w:val="000000"/>
          <w:sz w:val="32"/>
          <w:szCs w:val="32"/>
          <w:u w:val="single"/>
        </w:rPr>
      </w:pPr>
    </w:p>
    <w:p w14:paraId="12573D38">
      <w:pPr>
        <w:kinsoku w:val="0"/>
        <w:autoSpaceDE w:val="0"/>
        <w:autoSpaceDN w:val="0"/>
        <w:adjustRightInd w:val="0"/>
        <w:snapToGrid w:val="0"/>
        <w:spacing w:line="360" w:lineRule="auto"/>
        <w:ind w:firstLine="640" w:firstLineChars="200"/>
        <w:jc w:val="both"/>
        <w:textAlignment w:val="baseline"/>
        <w:rPr>
          <w:rFonts w:ascii="Times New Roman" w:hAnsi="Times New Roman" w:eastAsia="仿宋" w:cs="Times New Roman"/>
          <w:color w:val="000000"/>
          <w:sz w:val="32"/>
          <w:szCs w:val="32"/>
          <w:u w:val="single"/>
          <w:woUserID w:val="1"/>
        </w:rPr>
      </w:pPr>
      <w:r>
        <w:rPr>
          <w:rFonts w:ascii="Times New Roman" w:hAnsi="Times New Roman" w:eastAsia="仿宋_GB2312"/>
          <w:b w:val="0"/>
          <w:sz w:val="32"/>
        </w:rPr>
        <w:t>联系电话：</w:t>
      </w:r>
      <w:r>
        <w:rPr>
          <w:rFonts w:ascii="Times New Roman" w:hAnsi="Times New Roman" w:eastAsia="仿宋_GB2312"/>
          <w:b w:val="0"/>
          <w:sz w:val="32"/>
        </w:rPr>
        <w:t>138××××××××</w:t>
      </w:r>
    </w:p>
    <w:p w14:paraId="54C70F61">
      <w:pPr>
        <w:kinsoku w:val="0"/>
        <w:autoSpaceDE w:val="0"/>
        <w:autoSpaceDN w:val="0"/>
        <w:adjustRightInd w:val="0"/>
        <w:snapToGrid w:val="0"/>
        <w:spacing w:line="360" w:lineRule="auto"/>
        <w:ind w:firstLine="640" w:firstLineChars="200"/>
        <w:jc w:val="both"/>
        <w:textAlignment w:val="baseline"/>
        <w:rPr>
          <w:rFonts w:ascii="Times New Roman" w:hAnsi="Times New Roman" w:eastAsia="仿宋" w:cs="Times New Roman"/>
          <w:color w:val="000000"/>
          <w:sz w:val="32"/>
          <w:szCs w:val="32"/>
          <w:u w:val="single"/>
          <w:woUserID w:val="1"/>
        </w:rPr>
      </w:pPr>
    </w:p>
    <w:p w14:paraId="5E008092">
      <w:pPr>
        <w:kinsoku w:val="0"/>
        <w:autoSpaceDE w:val="0"/>
        <w:autoSpaceDN w:val="0"/>
        <w:adjustRightInd w:val="0"/>
        <w:snapToGrid w:val="0"/>
        <w:spacing w:line="360" w:lineRule="auto"/>
        <w:ind w:firstLine="640" w:firstLineChars="200"/>
        <w:jc w:val="both"/>
        <w:textAlignment w:val="baseline"/>
        <w:rPr>
          <w:rFonts w:ascii="Times New Roman" w:hAnsi="Times New Roman" w:eastAsia="仿宋" w:cs="Times New Roman"/>
          <w:color w:val="000000"/>
          <w:sz w:val="32"/>
          <w:szCs w:val="32"/>
          <w:u w:val="single"/>
          <w:woUserID w:val="1"/>
        </w:rPr>
      </w:pPr>
      <w:r>
        <w:rPr>
          <w:rFonts w:ascii="Times New Roman" w:hAnsi="Times New Roman" w:eastAsia="仿宋_GB2312"/>
          <w:b w:val="0"/>
          <w:sz w:val="32"/>
        </w:rPr>
        <w:t>电子邮箱：</w:t>
      </w:r>
      <w:r>
        <w:rPr>
          <w:rFonts w:ascii="Times New Roman" w:hAnsi="Times New Roman" w:eastAsia="仿宋_GB2312"/>
          <w:b w:val="0"/>
          <w:sz w:val="32"/>
        </w:rPr>
        <w:t>×××@bupt.edu.cn</w:t>
      </w:r>
    </w:p>
    <w:p w14:paraId="6FC79A18">
      <w:pPr>
        <w:kinsoku w:val="0"/>
        <w:autoSpaceDE w:val="0"/>
        <w:autoSpaceDN w:val="0"/>
        <w:adjustRightInd w:val="0"/>
        <w:snapToGrid w:val="0"/>
        <w:spacing w:line="360" w:lineRule="auto"/>
        <w:ind w:firstLine="640" w:firstLineChars="200"/>
        <w:jc w:val="both"/>
        <w:textAlignment w:val="baseline"/>
        <w:rPr>
          <w:rFonts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sz w:val="32"/>
          <w:szCs w:val="32"/>
        </w:rPr>
        <w:t xml:space="preserve"> </w:t>
      </w:r>
    </w:p>
    <w:p w14:paraId="576F89A5">
      <w:pPr>
        <w:spacing w:line="360" w:lineRule="auto"/>
        <w:ind w:firstLine="624" w:firstLineChars="200"/>
        <w:rPr>
          <w:rFonts w:hint="eastAsia" w:ascii="Times New Roman" w:hAnsi="Times New Roman" w:eastAsia="仿宋" w:cs="Times New Roman"/>
          <w:color w:val="000000"/>
          <w:sz w:val="32"/>
          <w:szCs w:val="32"/>
          <w:u w:val="single"/>
          <w:lang w:val="en-US" w:eastAsia="zh-CN"/>
        </w:rPr>
      </w:pPr>
      <w:r>
        <w:rPr>
          <w:rFonts w:ascii="Times New Roman" w:hAnsi="Times New Roman" w:eastAsia="仿宋_GB2312"/>
          <w:b w:val="0"/>
          <w:sz w:val="32"/>
        </w:rPr>
        <w:t>申报日期：</w:t>
      </w:r>
      <w:r>
        <w:rPr>
          <w:rFonts w:ascii="Times New Roman" w:hAnsi="Times New Roman" w:eastAsia="仿宋_GB2312"/>
          <w:b w:val="0"/>
          <w:sz w:val="32"/>
        </w:rPr>
        <w:t>2026年10月28日</w:t>
      </w:r>
    </w:p>
    <w:p w14:paraId="6D00739A">
      <w:pPr>
        <w:spacing w:line="360" w:lineRule="auto"/>
        <w:rPr>
          <w:rFonts w:ascii="Times New Roman" w:hAnsi="Times New Roman" w:eastAsia="仿宋" w:cs="Times New Roman"/>
          <w:color w:val="000000"/>
          <w:spacing w:val="5"/>
          <w:position w:val="23"/>
          <w:sz w:val="31"/>
          <w:szCs w:val="31"/>
        </w:rPr>
      </w:pPr>
      <w:r>
        <w:rPr>
          <w:rFonts w:ascii="Times New Roman" w:hAnsi="Times New Roman" w:eastAsia="仿宋" w:cs="Times New Roman"/>
          <w:color w:val="000000"/>
          <w:spacing w:val="5"/>
          <w:position w:val="23"/>
          <w:sz w:val="31"/>
          <w:szCs w:val="31"/>
        </w:rPr>
        <w:br w:type="page"/>
      </w:r>
    </w:p>
    <w:p w14:paraId="455FD408">
      <w:pPr>
        <w:spacing w:line="360" w:lineRule="auto"/>
        <w:jc w:val="both"/>
        <w:rPr>
          <w:rFonts w:ascii="Times New Roman" w:hAnsi="Times New Roman" w:eastAsia="Arial" w:cs="Times New Roman"/>
          <w:color w:val="000000"/>
          <w:sz w:val="8"/>
          <w:szCs w:val="8"/>
        </w:rPr>
        <w:sectPr>
          <w:footerReference r:id="rId3" w:type="default"/>
          <w:pgSz w:w="11906" w:h="16839"/>
          <w:pgMar w:top="1431" w:right="1785" w:bottom="1519" w:left="1687" w:header="0" w:footer="1332" w:gutter="0"/>
          <w:pgNumType w:start="1"/>
          <w:cols w:space="720" w:num="1"/>
        </w:sectPr>
      </w:pPr>
    </w:p>
    <w:p w14:paraId="7AE0A0BF">
      <w:pPr>
        <w:pStyle w:val="32"/>
        <w:numPr>
          <w:ilvl w:val="0"/>
          <w:numId w:val="1"/>
        </w:numPr>
        <w:kinsoku w:val="0"/>
        <w:autoSpaceDE w:val="0"/>
        <w:adjustRightInd w:val="0"/>
        <w:snapToGrid w:val="0"/>
        <w:spacing w:line="360" w:lineRule="auto"/>
        <w:jc w:val="both"/>
        <w:textAlignment w:val="baseline"/>
        <w:rPr>
          <w:rFonts w:hint="eastAsia" w:ascii="Times New Roman Bold" w:hAnsi="Times New Roman Bold" w:eastAsia="黑体" w:cs="Times New Roman Bold"/>
          <w:b/>
          <w:bCs/>
          <w:color w:val="000000"/>
          <w:sz w:val="32"/>
          <w:szCs w:val="32"/>
        </w:rPr>
      </w:pPr>
      <w:r>
        <w:rPr>
          <w:rFonts w:hint="eastAsia" w:ascii="Times New Roman Bold" w:hAnsi="Times New Roman Bold" w:eastAsia="黑体" w:cs="Times New Roman Bold"/>
          <w:b/>
          <w:bCs/>
          <w:color w:val="000000"/>
          <w:sz w:val="32"/>
          <w:szCs w:val="32"/>
        </w:rPr>
        <w:t>基本信息</w:t>
      </w:r>
    </w:p>
    <w:tbl>
      <w:tblPr>
        <w:tblStyle w:val="1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425"/>
        <w:gridCol w:w="1619"/>
        <w:gridCol w:w="2748"/>
      </w:tblGrid>
      <w:tr w14:paraId="5379E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5E97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113" w:right="113"/>
              <w:jc w:val="left"/>
              <w:rPr>
                <w:rFonts w:hint="default" w:ascii="仿宋_GB2312" w:hAnsi="仿宋_GB2312" w:eastAsia="仿宋_GB2312"/>
                <w:color w:val="000000"/>
                <w:sz w:val="24"/>
                <w:szCs w:val="24"/>
              </w:rPr>
            </w:pPr>
            <w:r>
              <w:rPr>
                <w:rFonts w:hint="default" w:ascii="仿宋_GB2312" w:hAnsi="仿宋_GB2312" w:eastAsia="仿宋_GB2312"/>
                <w:color w:val="000000"/>
                <w:sz w:val="24"/>
                <w:szCs w:val="24"/>
                <w:lang w:val="en-US" w:eastAsia="zh-CN"/>
              </w:rPr>
              <w:t>案例名称</w:t>
            </w:r>
          </w:p>
        </w:tc>
        <w:tc>
          <w:tcPr>
            <w:tcW w:w="398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智答·智诊·智练：《电磁场与电磁波》课后智能个性指导</w:t>
            </w:r>
          </w:p>
        </w:tc>
      </w:tr>
      <w:tr w14:paraId="1A938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0A9C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113" w:right="113"/>
              <w:jc w:val="left"/>
              <w:rPr>
                <w:rFonts w:hint="eastAsia" w:ascii="仿宋_GB2312" w:hAnsi="仿宋_GB2312" w:eastAsia="仿宋_GB2312"/>
                <w:color w:val="000000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="仿宋_GB2312" w:hAnsi="仿宋_GB2312" w:eastAsia="仿宋_GB2312"/>
                <w:color w:val="000000"/>
                <w:sz w:val="24"/>
                <w:szCs w:val="24"/>
                <w:lang w:val="en-US" w:eastAsia="zh"/>
                <w:woUserID w:val="1"/>
              </w:rPr>
              <w:t>对应方向（可多选）</w:t>
            </w:r>
          </w:p>
        </w:tc>
        <w:tc>
          <w:tcPr>
            <w:tcW w:w="398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□ 课前      □ 课中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☑ 课后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□ 第二课堂（竞赛/实践/社团/双创）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□ 其他：_________</w:t>
            </w:r>
          </w:p>
        </w:tc>
      </w:tr>
      <w:tr w14:paraId="4963F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8CF1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113" w:right="113"/>
              <w:jc w:val="left"/>
              <w:rPr>
                <w:rFonts w:hint="default" w:ascii="仿宋_GB2312" w:hAnsi="仿宋_GB2312" w:eastAsia="仿宋_GB2312"/>
                <w:color w:val="000000"/>
                <w:sz w:val="24"/>
                <w:szCs w:val="24"/>
              </w:rPr>
            </w:pPr>
            <w:r>
              <w:rPr>
                <w:rFonts w:hint="default" w:ascii="仿宋_GB2312" w:hAnsi="仿宋_GB2312" w:eastAsia="仿宋_GB2312"/>
                <w:color w:val="000000"/>
                <w:sz w:val="24"/>
                <w:szCs w:val="24"/>
                <w:lang w:val="en-US" w:eastAsia="zh-CN"/>
              </w:rPr>
              <w:t>申报单位</w:t>
            </w:r>
          </w:p>
        </w:tc>
        <w:tc>
          <w:tcPr>
            <w:tcW w:w="398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北京邮电大学  信息与通信工程学院</w:t>
            </w:r>
          </w:p>
        </w:tc>
      </w:tr>
      <w:tr w14:paraId="0137E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E780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113" w:right="113"/>
              <w:jc w:val="left"/>
              <w:rPr>
                <w:rFonts w:hint="default" w:ascii="仿宋_GB2312" w:hAnsi="仿宋_GB2312" w:eastAsia="仿宋_GB2312"/>
                <w:color w:val="000000"/>
                <w:sz w:val="24"/>
                <w:szCs w:val="24"/>
              </w:rPr>
            </w:pPr>
            <w:r>
              <w:rPr>
                <w:rFonts w:hint="default" w:ascii="仿宋_GB2312" w:hAnsi="仿宋_GB2312" w:eastAsia="仿宋_GB2312"/>
                <w:color w:val="000000"/>
                <w:sz w:val="24"/>
                <w:szCs w:val="24"/>
                <w:lang w:val="en-US" w:eastAsia="zh-CN"/>
              </w:rPr>
              <w:t>课程/活动名称</w:t>
            </w:r>
          </w:p>
        </w:tc>
        <w:tc>
          <w:tcPr>
            <w:tcW w:w="1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电磁场与电磁波</w:t>
            </w:r>
          </w:p>
        </w:tc>
        <w:tc>
          <w:tcPr>
            <w:tcW w:w="9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6F1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113" w:right="113"/>
              <w:jc w:val="left"/>
              <w:rPr>
                <w:rFonts w:hint="default" w:ascii="仿宋_GB2312" w:hAnsi="仿宋_GB2312" w:eastAsia="仿宋_GB2312"/>
                <w:color w:val="000000"/>
                <w:sz w:val="24"/>
                <w:szCs w:val="24"/>
              </w:rPr>
            </w:pPr>
            <w:r>
              <w:rPr>
                <w:rFonts w:hint="default" w:ascii="仿宋_GB2312" w:hAnsi="仿宋_GB2312" w:eastAsia="仿宋_GB2312"/>
                <w:color w:val="000000"/>
                <w:sz w:val="24"/>
                <w:szCs w:val="24"/>
                <w:lang w:val="en-US" w:eastAsia="zh-CN"/>
              </w:rPr>
              <w:t>覆盖学生人数</w:t>
            </w:r>
          </w:p>
        </w:tc>
        <w:tc>
          <w:tcPr>
            <w:tcW w:w="16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144 人（3 个教学班）</w:t>
            </w:r>
          </w:p>
        </w:tc>
      </w:tr>
      <w:tr w14:paraId="71680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F1A9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113" w:right="113"/>
              <w:jc w:val="left"/>
              <w:rPr>
                <w:rFonts w:hint="eastAsia" w:ascii="仿宋_GB2312" w:hAnsi="仿宋_GB2312" w:eastAsia="仿宋_GB2312"/>
                <w:color w:val="000000"/>
                <w:sz w:val="24"/>
                <w:szCs w:val="24"/>
                <w:lang w:eastAsia="zh"/>
                <w:woUserID w:val="1"/>
              </w:rPr>
            </w:pPr>
            <w:r>
              <w:rPr>
                <w:rFonts w:hint="default" w:ascii="仿宋_GB2312" w:hAnsi="仿宋_GB2312" w:eastAsia="仿宋_GB2312"/>
                <w:color w:val="000000"/>
                <w:sz w:val="24"/>
                <w:szCs w:val="24"/>
                <w:lang w:val="en-US" w:eastAsia="zh-CN"/>
              </w:rPr>
              <w:t>适用对</w:t>
            </w:r>
            <w:r>
              <w:rPr>
                <w:rFonts w:hint="eastAsia" w:ascii="仿宋_GB2312" w:hAnsi="仿宋_GB2312" w:eastAsia="仿宋_GB2312"/>
                <w:color w:val="000000"/>
                <w:sz w:val="24"/>
                <w:szCs w:val="24"/>
                <w:lang w:val="en-US" w:eastAsia="zh"/>
                <w:woUserID w:val="1"/>
              </w:rPr>
              <w:t>象（可多选）</w:t>
            </w:r>
          </w:p>
        </w:tc>
        <w:tc>
          <w:tcPr>
            <w:tcW w:w="1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☑ 本科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□ 研究生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□ 教师</w:t>
            </w:r>
          </w:p>
        </w:tc>
        <w:tc>
          <w:tcPr>
            <w:tcW w:w="9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991C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113" w:right="113"/>
              <w:jc w:val="left"/>
              <w:rPr>
                <w:rFonts w:hint="eastAsia" w:ascii="仿宋_GB2312" w:hAnsi="仿宋_GB2312" w:eastAsia="仿宋_GB2312"/>
                <w:color w:val="000000"/>
                <w:sz w:val="24"/>
                <w:szCs w:val="24"/>
                <w:lang w:eastAsia="zh"/>
                <w:woUserID w:val="1"/>
              </w:rPr>
            </w:pPr>
            <w:bookmarkStart w:id="1" w:name="_GoBack"/>
            <w:bookmarkEnd w:id="1"/>
            <w:r>
              <w:rPr>
                <w:rFonts w:hint="eastAsia" w:ascii="仿宋_GB2312" w:hAnsi="仿宋_GB2312" w:eastAsia="仿宋_GB2312"/>
                <w:color w:val="000000"/>
                <w:sz w:val="24"/>
                <w:szCs w:val="24"/>
                <w:lang w:eastAsia="zh"/>
                <w:woUserID w:val="1"/>
              </w:rPr>
              <w:t>课程类别</w:t>
            </w:r>
          </w:p>
        </w:tc>
        <w:tc>
          <w:tcPr>
            <w:tcW w:w="16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□ 基础类课程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☑ 专业类课程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□ 人文素养类课程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□ 教研工具类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□ 其他：_________</w:t>
            </w:r>
          </w:p>
        </w:tc>
      </w:tr>
      <w:tr w14:paraId="23AD2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BD9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113" w:right="113"/>
              <w:jc w:val="left"/>
              <w:rPr>
                <w:rFonts w:hint="default" w:ascii="仿宋_GB2312" w:hAnsi="仿宋_GB2312" w:eastAsia="仿宋_GB2312"/>
                <w:color w:val="000000"/>
                <w:sz w:val="24"/>
                <w:szCs w:val="24"/>
              </w:rPr>
            </w:pPr>
            <w:r>
              <w:rPr>
                <w:rFonts w:hint="default" w:ascii="仿宋_GB2312" w:hAnsi="仿宋_GB2312" w:eastAsia="仿宋_GB2312"/>
                <w:color w:val="000000"/>
                <w:sz w:val="24"/>
                <w:szCs w:val="24"/>
                <w:lang w:val="en-US" w:eastAsia="zh-CN"/>
              </w:rPr>
              <w:t>实施时间与轮次</w:t>
            </w:r>
          </w:p>
        </w:tc>
        <w:tc>
          <w:tcPr>
            <w:tcW w:w="398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2025 年 9 月 至 2026 年 6 月，共 2 轮</w:t>
            </w:r>
          </w:p>
        </w:tc>
      </w:tr>
      <w:tr w14:paraId="5E4C1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C636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113" w:right="113"/>
              <w:jc w:val="left"/>
              <w:rPr>
                <w:rFonts w:hint="default" w:ascii="仿宋_GB2312" w:hAnsi="仿宋_GB2312" w:eastAsia="仿宋_GB2312"/>
                <w:color w:val="000000"/>
                <w:sz w:val="24"/>
                <w:szCs w:val="24"/>
              </w:rPr>
            </w:pPr>
            <w:r>
              <w:rPr>
                <w:rFonts w:hint="default" w:ascii="仿宋_GB2312" w:hAnsi="仿宋_GB2312" w:eastAsia="仿宋_GB2312"/>
                <w:color w:val="000000"/>
                <w:sz w:val="24"/>
                <w:szCs w:val="24"/>
                <w:lang w:val="en-US" w:eastAsia="zh-CN"/>
              </w:rPr>
              <w:t>使用的AI工具及平台</w:t>
            </w:r>
          </w:p>
        </w:tc>
        <w:tc>
          <w:tcPr>
            <w:tcW w:w="398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名称及版本：①电磁场与电磁波全栈学习平台 V1.2（校内自研，含 RAG 知识库、知识图谱、智能测评模块）；②智谱 GLM-4.7 大模型（API v4）、embedding-3 向量模型（1024 维）；③Spring Boot 3.5.13 / Java 17 / MongoDB / Vue 3.2.13 / Ant Design Vue 4.2.6 / ECharts 5.5.1 / AntV G6 5.0.51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☑ 校内自研      ☑ 校外国产（大模型与向量模型）      □ 其他：_________</w:t>
            </w:r>
          </w:p>
        </w:tc>
      </w:tr>
      <w:tr w14:paraId="58850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4E41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113" w:right="113"/>
              <w:jc w:val="left"/>
              <w:rPr>
                <w:rFonts w:hint="default" w:ascii="仿宋_GB2312" w:hAnsi="仿宋_GB2312" w:eastAsia="仿宋_GB2312"/>
                <w:color w:val="000000"/>
                <w:sz w:val="24"/>
                <w:szCs w:val="24"/>
              </w:rPr>
            </w:pPr>
            <w:r>
              <w:rPr>
                <w:rFonts w:hint="default" w:ascii="仿宋_GB2312" w:hAnsi="仿宋_GB2312" w:eastAsia="仿宋_GB2312"/>
                <w:color w:val="000000"/>
                <w:sz w:val="24"/>
                <w:szCs w:val="24"/>
                <w:lang w:val="en-US" w:eastAsia="zh-CN"/>
              </w:rPr>
              <w:t>案例负责人</w:t>
            </w:r>
          </w:p>
        </w:tc>
        <w:tc>
          <w:tcPr>
            <w:tcW w:w="1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×××</w:t>
            </w:r>
          </w:p>
        </w:tc>
        <w:tc>
          <w:tcPr>
            <w:tcW w:w="9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16D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113" w:right="113"/>
              <w:jc w:val="left"/>
              <w:rPr>
                <w:rFonts w:hint="default" w:ascii="仿宋_GB2312" w:hAnsi="仿宋_GB2312" w:eastAsia="仿宋_GB2312"/>
                <w:color w:val="000000"/>
                <w:sz w:val="24"/>
                <w:szCs w:val="24"/>
              </w:rPr>
            </w:pPr>
            <w:r>
              <w:rPr>
                <w:rFonts w:hint="default" w:ascii="仿宋_GB2312" w:hAnsi="仿宋_GB2312" w:eastAsia="仿宋_GB2312"/>
                <w:color w:val="000000"/>
                <w:sz w:val="24"/>
                <w:szCs w:val="24"/>
                <w:lang w:val="en-US" w:eastAsia="zh-CN"/>
              </w:rPr>
              <w:t>职称/职务</w:t>
            </w:r>
          </w:p>
        </w:tc>
        <w:tc>
          <w:tcPr>
            <w:tcW w:w="16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副教授／课程组负责人</w:t>
            </w:r>
          </w:p>
        </w:tc>
      </w:tr>
      <w:tr w14:paraId="6682C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A885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113" w:right="113"/>
              <w:jc w:val="left"/>
              <w:rPr>
                <w:rFonts w:hint="default" w:ascii="仿宋_GB2312" w:hAnsi="仿宋_GB2312" w:eastAsia="仿宋_GB2312"/>
                <w:color w:val="000000"/>
                <w:sz w:val="24"/>
                <w:szCs w:val="24"/>
              </w:rPr>
            </w:pPr>
            <w:r>
              <w:rPr>
                <w:rFonts w:hint="default" w:ascii="仿宋_GB2312" w:hAnsi="仿宋_GB2312" w:eastAsia="仿宋_GB2312"/>
                <w:color w:val="000000"/>
                <w:sz w:val="24"/>
                <w:szCs w:val="24"/>
                <w:lang w:val="en-US" w:eastAsia="zh-CN"/>
              </w:rPr>
              <w:t>联系电话</w:t>
            </w:r>
          </w:p>
        </w:tc>
        <w:tc>
          <w:tcPr>
            <w:tcW w:w="1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138××××××××</w:t>
            </w:r>
          </w:p>
        </w:tc>
        <w:tc>
          <w:tcPr>
            <w:tcW w:w="9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3FA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113" w:right="113"/>
              <w:jc w:val="left"/>
              <w:rPr>
                <w:rFonts w:hint="default" w:ascii="仿宋_GB2312" w:hAnsi="仿宋_GB2312" w:eastAsia="仿宋_GB2312"/>
                <w:color w:val="000000"/>
                <w:sz w:val="24"/>
                <w:szCs w:val="24"/>
              </w:rPr>
            </w:pPr>
            <w:r>
              <w:rPr>
                <w:rFonts w:hint="default" w:ascii="仿宋_GB2312" w:hAnsi="仿宋_GB2312" w:eastAsia="仿宋_GB2312"/>
                <w:color w:val="000000"/>
                <w:sz w:val="24"/>
                <w:szCs w:val="24"/>
                <w:lang w:val="en-US" w:eastAsia="zh-CN"/>
              </w:rPr>
              <w:t>电子邮箱</w:t>
            </w:r>
          </w:p>
        </w:tc>
        <w:tc>
          <w:tcPr>
            <w:tcW w:w="16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×××@bupt.edu.cn</w:t>
            </w:r>
          </w:p>
        </w:tc>
      </w:tr>
      <w:tr w14:paraId="54DA2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EF7E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113" w:right="113"/>
              <w:jc w:val="left"/>
              <w:rPr>
                <w:rFonts w:hint="default" w:ascii="仿宋_GB2312" w:hAnsi="仿宋_GB2312" w:eastAsia="仿宋_GB2312"/>
                <w:color w:val="000000"/>
                <w:sz w:val="24"/>
                <w:szCs w:val="24"/>
              </w:rPr>
            </w:pPr>
            <w:r>
              <w:rPr>
                <w:rFonts w:hint="default" w:ascii="仿宋_GB2312" w:hAnsi="仿宋_GB2312" w:eastAsia="仿宋_GB2312"/>
                <w:color w:val="000000"/>
                <w:sz w:val="24"/>
                <w:szCs w:val="24"/>
                <w:lang w:val="en-US" w:eastAsia="zh-CN"/>
              </w:rPr>
              <w:t>团队成员</w:t>
            </w:r>
            <w:r>
              <w:rPr>
                <w:rFonts w:hint="default" w:ascii="仿宋_GB2312" w:hAnsi="仿宋_GB2312" w:eastAsia="仿宋_GB2312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_GB2312" w:hAnsi="仿宋_GB2312" w:eastAsia="仿宋_GB2312"/>
                <w:color w:val="000000"/>
                <w:sz w:val="24"/>
                <w:szCs w:val="24"/>
                <w:lang w:val="en-US" w:eastAsia="zh-CN"/>
              </w:rPr>
              <w:t>（不超过5人，含负责人）</w:t>
            </w:r>
          </w:p>
        </w:tc>
        <w:tc>
          <w:tcPr>
            <w:tcW w:w="398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1. ×××（案例负责人，副教授）——总体设计、教学实施与质量终审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2. ×××（教授）——课程知识图谱与资料库建设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3. ×××（讲师）——题库、知识点标签与评分要点编写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4. ×××（工程师）——平台研发与 RAG 链路实现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5. ×××（硕士研究生）——学习数据分析与效果统计</w:t>
            </w:r>
          </w:p>
        </w:tc>
      </w:tr>
      <w:tr w14:paraId="79422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15C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113" w:right="113"/>
              <w:jc w:val="left"/>
              <w:rPr>
                <w:rFonts w:hint="default" w:ascii="仿宋_GB2312" w:hAnsi="仿宋_GB2312" w:eastAsia="仿宋_GB2312"/>
                <w:color w:val="000000"/>
                <w:sz w:val="24"/>
                <w:szCs w:val="24"/>
              </w:rPr>
            </w:pPr>
            <w:r>
              <w:rPr>
                <w:rFonts w:hint="default" w:ascii="仿宋_GB2312" w:hAnsi="仿宋_GB2312" w:eastAsia="仿宋_GB2312"/>
                <w:color w:val="000000"/>
                <w:sz w:val="24"/>
                <w:szCs w:val="24"/>
                <w:lang w:val="en-US" w:eastAsia="zh-CN"/>
              </w:rPr>
              <w:t>案例撰写人</w:t>
            </w:r>
          </w:p>
        </w:tc>
        <w:tc>
          <w:tcPr>
            <w:tcW w:w="398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×××</w:t>
            </w:r>
          </w:p>
        </w:tc>
      </w:tr>
      <w:tr w14:paraId="45074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  <w:cantSplit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F99EDA">
            <w:pPr>
              <w:keepNext/>
              <w:keepLines w:val="0"/>
              <w:widowControl/>
              <w:suppressLineNumbers w:val="0"/>
              <w:spacing w:before="0" w:beforeAutospacing="0" w:after="0" w:afterAutospacing="0"/>
              <w:ind w:left="113" w:right="113"/>
              <w:jc w:val="left"/>
              <w:rPr>
                <w:rFonts w:hint="default" w:ascii="仿宋_GB2312" w:hAnsi="仿宋_GB2312" w:eastAsia="仿宋_GB2312"/>
                <w:color w:val="000000"/>
                <w:sz w:val="24"/>
                <w:szCs w:val="24"/>
              </w:rPr>
            </w:pPr>
            <w:r>
              <w:rPr>
                <w:rFonts w:hint="default" w:ascii="仿宋_GB2312" w:hAnsi="仿宋_GB2312" w:eastAsia="仿宋_GB2312"/>
                <w:color w:val="000000"/>
                <w:sz w:val="24"/>
                <w:szCs w:val="24"/>
                <w:lang w:val="en-US" w:eastAsia="zh-CN"/>
              </w:rPr>
              <w:t>案例简介（300字以内）</w:t>
            </w:r>
            <w:r>
              <w:rPr>
                <w:rFonts w:hint="default" w:ascii="仿宋_GB2312" w:hAnsi="仿宋_GB2312" w:eastAsia="仿宋_GB2312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_GB2312" w:hAnsi="仿宋_GB2312" w:eastAsia="仿宋_GB2312"/>
                <w:color w:val="000000"/>
                <w:sz w:val="24"/>
                <w:szCs w:val="24"/>
                <w:lang w:val="en-US" w:eastAsia="zh-CN"/>
              </w:rPr>
              <w:t>说明解决了什么教学问题、AI在其中做了什么、取得了什么效果。</w:t>
            </w:r>
          </w:p>
        </w:tc>
      </w:tr>
      <w:tr w14:paraId="76A73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9" w:hRule="atLeast"/>
          <w:jc w:val="center"/>
          <w:cantSplit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before="0" w:after="0" w:line="360" w:lineRule="auto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本案例针对《电磁场与电磁波》课后“答疑覆盖不足、错题诊断不精、复练缺少针对”的痛点，在自研学习平台上构建“批改—诊断—辅导—复测”闭环：以 9 章知识图谱为诊断坐标系，把错题、学习行为与成绩统一映射到知识点；以 4,286 个资料切片的 RAG 知识库约束 GLM-4.7 生成可溯源答案；以教师编写的评分要点驱动 AI 辅助批改、教师终审；以变式题复测验证辅导效果。两轮 144 名学生参与，实验班期末平均分较对照班高 6.5 分（p&lt;0.01），薄弱点复测通过率由 41.5% 升至 78.7%，教师周答疑工时下降 63%。AI 承担检索、比对、统计等可规模化劳动，教师专注标准制定、质量终审与个别指导。</w:t>
            </w:r>
          </w:p>
        </w:tc>
      </w:tr>
    </w:tbl>
    <w:p w14:paraId="6CBD0837">
      <w:pPr>
        <w:pStyle w:val="32"/>
        <w:numPr>
          <w:ilvl w:val="0"/>
          <w:numId w:val="0"/>
        </w:numPr>
        <w:kinsoku w:val="0"/>
        <w:autoSpaceDE w:val="0"/>
        <w:adjustRightInd w:val="0"/>
        <w:snapToGrid w:val="0"/>
        <w:spacing w:line="360" w:lineRule="auto"/>
        <w:ind w:leftChars="0"/>
        <w:jc w:val="both"/>
        <w:textAlignment w:val="baseline"/>
        <w:rPr>
          <w:rFonts w:hint="eastAsia" w:ascii="Times New Roman Bold" w:hAnsi="Times New Roman Bold" w:eastAsia="黑体" w:cs="Times New Roman Bold"/>
          <w:b/>
          <w:bCs/>
          <w:color w:val="000000"/>
          <w:sz w:val="32"/>
          <w:szCs w:val="32"/>
        </w:rPr>
      </w:pPr>
    </w:p>
    <w:p w14:paraId="0855FEC4">
      <w:pPr>
        <w:pStyle w:val="32"/>
        <w:numPr>
          <w:ilvl w:val="0"/>
          <w:numId w:val="1"/>
        </w:numPr>
        <w:kinsoku w:val="0"/>
        <w:autoSpaceDE w:val="0"/>
        <w:adjustRightInd w:val="0"/>
        <w:snapToGrid w:val="0"/>
        <w:spacing w:line="360" w:lineRule="auto"/>
        <w:jc w:val="both"/>
        <w:textAlignment w:val="baseline"/>
        <w:rPr>
          <w:rFonts w:hint="eastAsia" w:ascii="Times New Roman Bold" w:hAnsi="Times New Roman Bold" w:eastAsia="黑体" w:cs="Times New Roman Bold"/>
          <w:b/>
          <w:bCs/>
          <w:color w:val="000000"/>
          <w:sz w:val="32"/>
          <w:szCs w:val="32"/>
        </w:rPr>
      </w:pPr>
      <w:r>
        <w:rPr>
          <w:rFonts w:hint="eastAsia" w:ascii="Times New Roman Bold" w:hAnsi="Times New Roman Bold" w:eastAsia="黑体" w:cs="Times New Roman Bold"/>
          <w:b/>
          <w:bCs/>
          <w:color w:val="000000"/>
          <w:sz w:val="32"/>
          <w:szCs w:val="32"/>
          <w:lang w:eastAsia="zh"/>
          <w:woUserID w:val="1"/>
        </w:rPr>
        <w:t>申报内容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6501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360" w:lineRule="auto" w:before="0" w:after="160"/>
              <w:ind w:firstLine="0"/>
              <w:jc w:val="both"/>
            </w:pPr>
            <w:r>
              <w:rPr>
                <w:rFonts w:ascii="Times New Roman" w:hAnsi="Times New Roman" w:eastAsia="黑体"/>
                <w:b w:val="0"/>
                <w:sz w:val="24"/>
              </w:rPr>
              <w:t>【模板A：教学过程类】</w:t>
            </w:r>
          </w:p>
          <w:p>
            <w:pPr>
              <w:keepNext/>
              <w:spacing w:line="360" w:lineRule="auto" w:before="200" w:after="120"/>
              <w:ind w:firstLine="0"/>
              <w:jc w:val="both"/>
            </w:pPr>
            <w:r>
              <w:rPr>
                <w:rFonts w:ascii="Times New Roman" w:hAnsi="Times New Roman" w:eastAsia="黑体"/>
                <w:b w:val="0"/>
                <w:sz w:val="24"/>
              </w:rPr>
              <w:t>（一）背景与问题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《电磁场与电磁波》是通信工程、电子信息类专业的主干基础课，我校设置为 64 学时、3 学分，面向大二学生开设。课程以矢量分析、静态场、时变场、平面波、导行波、电磁辐射为主线，概念抽象、公式密集，对“场”的空间想象与符号运算能力要求很高。课堂只能保证“讲清楚”，真正的分化发生在课后：学生能不能把当天的推导自己走一遍，卡住的时候有没有人及时接住。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第一个卡点是“问不到人”。课后疑问高度碎片化，多是“这一步为什么可以把旋度提到积分号外”“理想导体表面的边界条件为什么是法向电场、切向磁场”这类只差一句话的困惑，而且往往在晚上九点后集中出现。课程组此前每周安排两次固定答疑、合计约 6.5 小时，一个班五十人，人均不足八分钟；等到下一次课，学生已经想不起当时的思路，问题看似消失，漏洞却留了下来。通用大模型虽可即问即答，但回答常脱离本课程教材体系：符号约定、公式形式与课堂讲授不一致，个别推导“看着对、代入就错”，学生无从判断可信度，反而增加了认知负担。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第二个卡点是“诊不准”。传统作业批改给出的是“对错 + 分数”，教师能看到某题错了，却很难在五十份作业中回答“这个班究竟卡在哪一节”“这名学生是矢量分析没打牢，还是边值问题没入门”。错题与知识点之间缺少稳定映射，讲评只能就题讲题，同一个知识点反复错、反复讲，教师的时间大量消耗在重复劳动上。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第三个卡点是“练得散、跟不上”。课后练习统一布置，基础薄弱的学生“咽不下”，学有余力的学生“吃不饱”；订正之后又缺少针对同一知识点的变式复测，“当时会了、考试又错”十分普遍。要形成“批改—诊断—辅导—复测”的完整闭环，靠人工完成，时间成本不可承受。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课程组并非一开始就选择技术路线。2024 年曾试过两个替代方案：一是建课程微信群、教师轮值答疑，运行一学期后统计，群内日均消息 47 条，其中 62% 是重复问题，教师回复高峰集中在 22:00—23:30，工作边界被完全侵蚀；二是让学生自行使用通用大模型，学期末问卷显示 71% 的学生用过，但 58% 表示“不知道该不该信”。两次尝试指向同一个结论：课后环节缺的不是“回答”，而是“贴着本课程教材、可核验、能沉淀下来”的回答。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2025 年起，课程组在自研的“电磁场与电磁波全栈学习平台”上完成了课程知识图谱与 RAG 知识库建设，尝试让 AI 承担检索、比对、统计等可规模化的劳动，把教师从重复答疑和机械批改中释放出来，专门做标准制定、质量终审与个别指导。本案例即为该思路在课后环节的一轮完整实践。</w:t>
            </w:r>
          </w:p>
          <w:p>
            <w:pPr>
              <w:keepNext/>
              <w:spacing w:line="360" w:lineRule="auto" w:before="200" w:after="120"/>
              <w:ind w:firstLine="0"/>
              <w:jc w:val="both"/>
            </w:pPr>
            <w:r>
              <w:rPr>
                <w:rFonts w:ascii="Times New Roman" w:hAnsi="Times New Roman" w:eastAsia="黑体"/>
                <w:b w:val="0"/>
                <w:sz w:val="24"/>
              </w:rPr>
              <w:t>（二）场景与分工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以一个真实教学单元为例：第 5 章“时变电磁场”课后作业共 6 题，其中第 4 题“由麦克斯韦方程组推导无源理想介质中的波动方程”是本周的共性难点。从周三晚交作业到周五课堂讲评，48 小时内完成一次完整闭环。</w:t>
            </w:r>
          </w:p>
          <w:p>
            <w:pPr>
              <w:keepNext/>
              <w:spacing w:line="360" w:lineRule="auto" w:before="80" w:after="40"/>
              <w:ind w:firstLine="480"/>
              <w:jc w:val="both"/>
            </w:pPr>
            <w:r>
              <w:rPr>
                <w:rFonts w:ascii="Times New Roman" w:hAnsi="Times New Roman" w:eastAsia="楷体"/>
                <w:b/>
                <w:sz w:val="24"/>
              </w:rPr>
              <w:t>1. 机改人核：把批改拆成“机器比对”与“教师终审”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周三 20:00 截止提交。学生在线提交手写推导照片与关键步骤的录入文本。选择题、填空题由系统按标准答案即时判分；3 道推导与计算题交由 GLM-4.7 依据教师预先编写的评分要点逐条比对。评分要点按“方程建立—变量与符号说明—推导步骤完整性—结果讨论”四档设计，每一档都给出可观测的判定依据，例如“写出无源区电场波动方程得 8 分，仅列出麦克斯韦方程组而未做代换得 3 分”。AI 输出的是“命中/部分命中/未命中 + 原文证据句 + 建议分”，不直接给出最终成绩。教师在移动端用约 12 分钟复核存疑项——建议分与该生历史水平偏离 15 分以上、或判定为“部分命中”的样本约占 18%——确认或改判后成绩入库。教师对这种改法的评价很直白：“以前是逐份找错，现在是审 AI 的判断，注意力放在它看不出来的地方。”</w:t>
            </w:r>
          </w:p>
          <w:p>
            <w:pPr>
              <w:keepNext/>
              <w:spacing w:line="360" w:lineRule="auto" w:before="80" w:after="40"/>
              <w:ind w:firstLine="480"/>
              <w:jc w:val="both"/>
            </w:pPr>
            <w:r>
              <w:rPr>
                <w:rFonts w:ascii="Times New Roman" w:hAnsi="Times New Roman" w:eastAsia="楷体"/>
                <w:b/>
                <w:sz w:val="24"/>
              </w:rPr>
              <w:t>2. 归因诊断：把错题钉在知识图谱的节点上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系统把每道错题按题库中维护的知识点标签，映射到知识图谱的“章—节—小节”三级节点。图谱共 9 章、59 节、143 个小节，前端以 AntV G6 思维导图呈现并支持课程总览与单章详情两种模式，节点 ID 与题库标签、资料章节三方对齐。叠加该生学习进度中未完成或停留时长异常的小节、近期资料访问记录，系统生成“个人诊断单”：本次作业命中 3 个薄弱节点（5.1.4 麦克斯韦第四方程、5.6 电磁场的位函数及波动方程、4.2 分离变量法），并按“错题分值 × 节点权重”给出攻克优先级。教师端同步生成班级热力图：49 人中 31 人在 5.6 节点失分，据此确定为本周共性薄弱点。</w:t>
            </w:r>
          </w:p>
          <w:p>
            <w:pPr>
              <w:keepNext/>
              <w:spacing w:line="360" w:lineRule="auto" w:before="80" w:after="40"/>
              <w:ind w:firstLine="480"/>
              <w:jc w:val="both"/>
            </w:pPr>
            <w:r>
              <w:rPr>
                <w:rFonts w:ascii="Times New Roman" w:hAnsi="Times New Roman" w:eastAsia="楷体"/>
                <w:b/>
                <w:sz w:val="24"/>
              </w:rPr>
              <w:t>3. 溯源追问：让每一句回答都能点回原文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周三 21 点前后是提问高峰。学生问：“位移电流不是真实电荷的流动，为什么能激发磁场？”系统不把问题直接抛给大模型，而是先用 embedding-3 将问题向量化，在课程资料切片库（4,286 个块）中做余弦相似度检索，取最相关的 5 个片段作为上下文——本例检索到第 5 章课件、教材 5.1 节节选与教师讲义各一段——再由 GLM-4.7 组织成 300 字以内的回答，每个结论后用【资料1】【资料3】标注出处，点击即可跳转到原文位置。若检索相关度低于阈值，系统明确回复“课程资料未覆盖该问题，建议查阅第 5.1 节并等待教师答复”，不强行生成。回答下方自动附“同类追问”3 条与本章 2 份资料（1 段 8 分钟微视频、1 份推导讲义），并按诊断单推送分层任务：基础层 3 道概念辨析，提高层 2 道含损耗媒质的波动方程，拓展层 1 道开放思考“位移电流假设对电磁波预言的意义”。</w:t>
            </w:r>
          </w:p>
          <w:p>
            <w:pPr>
              <w:keepNext/>
              <w:spacing w:line="360" w:lineRule="auto" w:before="80" w:after="40"/>
              <w:ind w:firstLine="480"/>
              <w:jc w:val="both"/>
            </w:pPr>
            <w:r>
              <w:rPr>
                <w:rFonts w:ascii="Times New Roman" w:hAnsi="Times New Roman" w:eastAsia="楷体"/>
                <w:b/>
                <w:sz w:val="24"/>
              </w:rPr>
              <w:t>4. 复测与讲评：用一次小测验证辅导是否有效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周四 20:00 开放 10 题、20 分钟的薄弱点复测，题目按题库原题与 AI 变式题 6∶4 组卷，变式题必须经教师审核入库。复测结果与作业成绩、诊断单合并为“周成长记录”；未通过（低于 60%）的学生自动进入周五“15 分钟一对一”名单，由教师或助教面批。周五课上，教师依据班级热力图用 15 分钟做“微专题”讲评，只讲共性错因，不讲全题。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这里有一个关键的设计取舍：为什么不让 AI 直接接管答疑？课程组比对过两种方案。全自动方案响应更快、教师零负担，但抽检发现两类问题——模型会“顺着学生的错误前提往下讲”，也会给出教材未涉及的解法，学生无从分辨。因此最终采用“AI 先行、资料约束、教师兜底”的第三条路：常见问题由 AI 在 10 秒内响应；检索分数低于阈值、学生连续两次追问、或学生主动点击“转教师”时，问题在 24 小时内交由教师接手，系统把该生的诊断单、最近 5 轮对话与检索到的资料片段一并推送，教师不必从零了解上下文。一学期中转人工比例为 11.6%，教师的答疑从“答所有问题”变成“答值得答的问题”。</w:t>
            </w:r>
          </w:p>
          <w:p>
            <w:pPr>
              <w:keepNext/>
              <w:spacing w:line="360" w:lineRule="auto" w:before="160" w:after="40"/>
              <w:ind w:firstLine="0"/>
              <w:jc w:val="center"/>
            </w:pPr>
            <w:r>
              <w:rPr>
                <w:rFonts w:ascii="Times New Roman" w:hAnsi="Times New Roman" w:eastAsia="黑体"/>
                <w:b w:val="0"/>
                <w:sz w:val="21"/>
              </w:rPr>
              <w:t>表 1  课后环节“AI—教师—学生”三方分工</w:t>
            </w:r>
          </w:p>
          <w:tbl>
            <w:tblPr>
              <w:tblStyle w:val="17"/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928"/>
              <w:gridCol w:w="6236"/>
            </w:tblGrid>
            <w:tr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sz w:val="20"/>
                    </w:rPr>
                    <w:t>角色</w:t>
                  </w:r>
                </w:p>
              </w:tc>
              <w:tc>
                <w:tcPr>
                  <w:tcW w:type="dxa" w:w="6236"/>
                  <w:vAlign w:val="center"/>
                  <w:shd w:val="clear" w:color="auto" w:fill="F2F2F2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sz w:val="20"/>
                    </w:rPr>
                    <w:t>承担的具体任务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仿宋_GB2312"/>
                      <w:b/>
                      <w:sz w:val="20"/>
                    </w:rPr>
                    <w:t>AI（平台 + GLM-4.7）</w:t>
                  </w:r>
                </w:p>
              </w:tc>
              <w:tc>
                <w:tcPr>
                  <w:tcW w:type="dxa" w:w="6236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资料解析与切片、向量化建库；检索增强答疑与出处标注；客观题自动判分、主观题要点比对与建议分；错题归因、个人诊断单与班级热力图生成；变式题生成、组卷与复测统计；周报与成长报告生成。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仿宋_GB2312"/>
                      <w:b/>
                      <w:sz w:val="20"/>
                    </w:rPr>
                    <w:t>教师（课程组）</w:t>
                  </w:r>
                </w:p>
              </w:tc>
              <w:tc>
                <w:tcPr>
                  <w:tcW w:type="dxa" w:w="6236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知识库“守门人”：审定入库资料、维护知识点标签与评分要点；审核 AI 生成题目；复核评分存疑项并终裁成绩；依据热力图确定每周微专题与约谈名单；对错误回答做“纠错—补资料—回归测试”。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仿宋_GB2312"/>
                      <w:b/>
                      <w:sz w:val="20"/>
                    </w:rPr>
                    <w:t>学生</w:t>
                  </w:r>
                </w:p>
              </w:tc>
              <w:tc>
                <w:tcPr>
                  <w:tcW w:type="dxa" w:w="6236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先查资料再提问（“三问三不问”）；按诊断单完成分层任务；参加复测并撰写 100 字反思；对每条 AI 回答做“有用/无用/有误”反馈，有误时补充正确出处，反馈进入教师修订队列。</w:t>
                  </w:r>
                </w:p>
              </w:tc>
            </w:tr>
          </w:tbl>
          <w:p/>
          <w:p/>
          <w:p>
            <w:pPr>
              <w:spacing w:line="240" w:lineRule="auto" w:before="40" w:after="40"/>
              <w:ind w:firstLine="0"/>
              <w:jc w:val="both"/>
            </w:pPr>
            <w:r>
              <w:rPr>
                <w:rFonts w:ascii="Times New Roman" w:hAnsi="Times New Roman" w:eastAsia="楷体"/>
                <w:b w:val="0"/>
                <w:sz w:val="18"/>
              </w:rPr>
              <w:t>注：AI 只提供建议分与诊断线索，成绩终裁权、题目入库权、资料审定权均保留在教师。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这套分工的原则只有一句：AI 做“可规模化的事实性劳动”，教师做“不可替代的判断与育人”，学生做“带着证据的学习者”。三者不是替代关系，而是把教师的时间从“重复解释同一件事”转移到“设计问题、诊断个体、回应情绪”上。</w:t>
            </w:r>
          </w:p>
          <w:p>
            <w:pPr>
              <w:keepNext/>
              <w:spacing w:line="360" w:lineRule="auto" w:before="200" w:after="120"/>
              <w:ind w:firstLine="0"/>
              <w:jc w:val="both"/>
            </w:pPr>
            <w:r>
              <w:rPr>
                <w:rFonts w:ascii="Times New Roman" w:hAnsi="Times New Roman" w:eastAsia="黑体"/>
                <w:b w:val="0"/>
                <w:sz w:val="24"/>
              </w:rPr>
              <w:t>（三）实施过程</w:t>
            </w:r>
          </w:p>
          <w:p>
            <w:pPr>
              <w:keepNext/>
              <w:spacing w:line="360" w:lineRule="auto" w:before="80" w:after="40"/>
              <w:ind w:firstLine="480"/>
              <w:jc w:val="both"/>
            </w:pPr>
            <w:r>
              <w:rPr>
                <w:rFonts w:ascii="Times New Roman" w:hAnsi="Times New Roman" w:eastAsia="楷体"/>
                <w:b/>
                <w:sz w:val="24"/>
              </w:rPr>
              <w:t>阶段 0（开学前 2 周）：建库与立标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先做知识坐标系。把课程 9 章 59 节 143 个小节结构化为知识图谱，节点 ID 同时写入题库的知识点标签与资料的章节字段，形成“题—点—资源”的统一坐标系。这是后续所有诊断能够对齐的前提，也是本案例投入最大的一步。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再做资料入库。86 份课程资料（PDF 42 份、PPT 18 份、视频 15 段、DOCX 11 份）经解析后，按段落切分为 500 字符、重叠 50 字符的文本块，用 embedding-3 生成 1024 维向量存入 MongoDB，共建索引 4,286 块。视频资料由教师补写时间轴讲稿入库，保证“看得见的内容也搜得到”。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最后立标。为 9 章 27 类典型题型编写评分要点，出台《AI 使用与数据规范》，明确脱敏、标注、留痕、审核四条红线。</w:t>
            </w:r>
          </w:p>
          <w:p>
            <w:pPr>
              <w:keepNext/>
              <w:spacing w:line="360" w:lineRule="auto" w:before="80" w:after="40"/>
              <w:ind w:firstLine="480"/>
              <w:jc w:val="both"/>
            </w:pPr>
            <w:r>
              <w:rPr>
                <w:rFonts w:ascii="Times New Roman" w:hAnsi="Times New Roman" w:eastAsia="楷体"/>
                <w:b/>
                <w:sz w:val="24"/>
              </w:rPr>
              <w:t>阶段 1（第 1—2 周）：基线与规则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用同一套基线测查题在实验班与对照班同步施测，记录作业平均分与薄弱点分布，作为后续对比的起点。学生培训只讲一件事——“三问三不问”：问概念、问步骤、问差异；不问答案、不问押题、不传与课程无关的内容。教师培训走“审—诊—导”三段：审 AI 的评分与题目，诊班级与个体的薄弱点，导分层任务与个别谈话。</w:t>
            </w:r>
          </w:p>
          <w:p>
            <w:pPr>
              <w:keepNext/>
              <w:spacing w:line="360" w:lineRule="auto" w:before="80" w:after="40"/>
              <w:ind w:firstLine="480"/>
              <w:jc w:val="both"/>
            </w:pPr>
            <w:r>
              <w:rPr>
                <w:rFonts w:ascii="Times New Roman" w:hAnsi="Times New Roman" w:eastAsia="楷体"/>
                <w:b/>
                <w:sz w:val="24"/>
              </w:rPr>
              <w:t>阶段 2（第 3—14 周）：周循环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每周节律固定：周日 20:00 推送上周周报（教师版含班级热力图，学生版含个人诊断单）；周一教师据此确定本周一个共性薄弱点；周三作业机改人核、生成诊断单；周三晚学生完成溯源追问与分层任务；周四复测；周五微专题讲评与一对一约谈。12 周运转 12 轮，累计生成 1,176 份个人诊断单。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三条核心提示词（节选，全文见附件 3）：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①答疑：“你是《电磁场与电磁波》课程助教。只依据【资料】内容回答；资料未覆盖时明确说明‘课程资料未覆盖’，不得推测；每个结论后用【资料N】标注来源；公式符号须与资料一致；300 字以内，先结论后要点。”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②评分：“按四条评分要点逐条判断，输出：要点、判定（命中/部分命中/未命中）、证据句、建议分。只做要点比对，不给最终成绩，不评价学生学习态度。”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③变式：“基于知识点【5.6 电磁场的位函数及波动方程】与错因【未区分无源/有源情形】，生成 2 道同结构、异情境的计算题，附答案与两步提示，难度不高于原题。”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提示词不是一次写就的。12 周里迭代了 7 版：最早一版允许模型“补充课外知识”，抽检发现 6 处与教材符号不一致，此后改为“资料外不答”；第二版增加了显式拒答句式，幻觉率明显下降。这一步说明，提示词工程本质上是教学规范的代码化，写提示词的人必须懂这门课。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复测组卷有两条硬规则：同一知识点连续两次不重复出原题；变式题必须标注“生成依据”（原题 ID + 错因标签），便于教师追溯出题逻辑。AI 参与的每个环节都写入日志表，记录时间、学生标识（哈希）、检索片段 ID、模型版本与耗时，学期末导出为审计文件，用于回答“这个分数是怎么来的”。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还有一个 12 周里反复出现的场景。第 8 周，一名学生在复测中连续两次在“波导中的 TE/TM 模”失分。诊断单显示其“8.3 矩形波导”节点掌握度仅 31%，而“7.2 平面波垂直入射到理想介质分界面”节点达 88%。教师在复核台看到这条记录，判断问题不在公式记忆，而在“把反射系数与传播常数混为一谈”，于是推给他一组对比任务：先用 RAG 追问“截止频率的物理含义”，再完成 2 道“同一频率下不同模态能否传播”的判断题，最后做 3 分钟口述。这类“教师读数据—AI 给材料—学生复述”的组合，是 12 周里最有效的干预方式，也是最难被自动化的部分。</w:t>
            </w:r>
          </w:p>
          <w:p>
            <w:pPr>
              <w:keepNext/>
              <w:spacing w:line="360" w:lineRule="auto" w:before="80" w:after="40"/>
              <w:ind w:firstLine="480"/>
              <w:jc w:val="both"/>
            </w:pPr>
            <w:r>
              <w:rPr>
                <w:rFonts w:ascii="Times New Roman" w:hAnsi="Times New Roman" w:eastAsia="楷体"/>
                <w:b/>
                <w:sz w:val="24"/>
              </w:rPr>
              <w:t>阶段 3（第 15—16 周）：期末综合诊断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系统为每名学生生成“课程成长报告”：知识图谱按掌握度着色（已掌握/薄弱/未学），附 12 周学习趋势、复测提升曲线、Top-3 薄弱点与建议复习路径，末页留出教师手写寄语的位置。报告同时作为课程过程性评价的依据之一。</w:t>
            </w:r>
          </w:p>
          <w:p>
            <w:pPr>
              <w:keepNext/>
              <w:spacing w:line="360" w:lineRule="auto" w:before="80" w:after="40"/>
              <w:ind w:firstLine="480"/>
              <w:jc w:val="both"/>
            </w:pPr>
            <w:r>
              <w:rPr>
                <w:rFonts w:ascii="Times New Roman" w:hAnsi="Times New Roman" w:eastAsia="楷体"/>
                <w:b/>
                <w:sz w:val="24"/>
              </w:rPr>
              <w:t>阶段 4（学期末）：人机共同复盘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抽取 300 条 AI 回答人工复核，把错误率最高的 20 个问题对应的资料补齐（新增 6 份讲义、修订 3 处表述），对 5 个高错误率知识点重写标签。由此形成“使用—发现—修订—回归”的知识库迭代机制，使系统的准确率随使用而上升，而不是随使用而衰减。</w:t>
            </w:r>
          </w:p>
          <w:p>
            <w:pPr>
              <w:keepNext/>
              <w:spacing w:line="360" w:lineRule="auto" w:before="200" w:after="120"/>
              <w:ind w:firstLine="0"/>
              <w:jc w:val="both"/>
            </w:pPr>
            <w:r>
              <w:rPr>
                <w:rFonts w:ascii="Times New Roman" w:hAnsi="Times New Roman" w:eastAsia="黑体"/>
                <w:b w:val="0"/>
                <w:sz w:val="24"/>
              </w:rPr>
              <w:t>（四）效果与数据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样本与设计：2025 年 9 月至 2026 年 6 月共两轮。第一轮为试点（1 个教学班 46 人），第二轮为推广（2 个教学班 98 人），累计覆盖学生 144 人。第二轮设实验班 49 人与对照班 49 人，同一教师、同一大纲、同一试卷、同一套课后练习，实验班额外使用平台智能指导。数据取自平台日志、成绩库与匿名问卷，学生姓名与学号在分析前已哈希化处理。</w:t>
            </w:r>
          </w:p>
          <w:p>
            <w:pPr>
              <w:keepNext/>
              <w:spacing w:line="360" w:lineRule="auto" w:before="160" w:after="40"/>
              <w:ind w:firstLine="0"/>
              <w:jc w:val="center"/>
            </w:pPr>
            <w:r>
              <w:rPr>
                <w:rFonts w:ascii="Times New Roman" w:hAnsi="Times New Roman" w:eastAsia="黑体"/>
                <w:b w:val="0"/>
                <w:sz w:val="21"/>
              </w:rPr>
              <w:t>表 2  第二轮实施效果对比（n=98）</w:t>
            </w:r>
          </w:p>
          <w:tbl>
            <w:tblPr>
              <w:tblStyle w:val="17"/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742"/>
              <w:gridCol w:w="1644"/>
              <w:gridCol w:w="1474"/>
              <w:gridCol w:w="1644"/>
            </w:tblGrid>
            <w:tr>
              <w:tc>
                <w:tcPr>
                  <w:tcW w:type="dxa" w:w="3742"/>
                  <w:vAlign w:val="center"/>
                  <w:shd w:val="clear" w:color="auto" w:fill="F2F2F2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sz w:val="20"/>
                    </w:rPr>
                    <w:t>指标</w:t>
                  </w:r>
                </w:p>
              </w:tc>
              <w:tc>
                <w:tcPr>
                  <w:tcW w:type="dxa" w:w="1644"/>
                  <w:vAlign w:val="center"/>
                  <w:shd w:val="clear" w:color="auto" w:fill="F2F2F2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sz w:val="20"/>
                    </w:rPr>
                    <w:t>对照班</w:t>
                  </w:r>
                </w:p>
              </w:tc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sz w:val="20"/>
                    </w:rPr>
                    <w:t>实验班</w:t>
                  </w:r>
                </w:p>
              </w:tc>
              <w:tc>
                <w:tcPr>
                  <w:tcW w:type="dxa" w:w="1644"/>
                  <w:vAlign w:val="center"/>
                  <w:shd w:val="clear" w:color="auto" w:fill="F2F2F2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sz w:val="20"/>
                    </w:rPr>
                    <w:t>变化</w:t>
                  </w:r>
                </w:p>
              </w:tc>
            </w:tr>
            <w:tr>
              <w:tc>
                <w:tcPr>
                  <w:tcW w:type="dxa" w:w="3742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期末平均分</w:t>
                  </w:r>
                </w:p>
              </w:tc>
              <w:tc>
                <w:tcPr>
                  <w:tcW w:type="dxa" w:w="1644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71.9</w:t>
                  </w:r>
                </w:p>
              </w:tc>
              <w:tc>
                <w:tcPr>
                  <w:tcW w:type="dxa" w:w="1474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78.4</w:t>
                  </w:r>
                </w:p>
              </w:tc>
              <w:tc>
                <w:tcPr>
                  <w:tcW w:type="dxa" w:w="1644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+6.5</w:t>
                  </w:r>
                </w:p>
              </w:tc>
            </w:tr>
            <w:tr>
              <w:tc>
                <w:tcPr>
                  <w:tcW w:type="dxa" w:w="3742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及格率</w:t>
                  </w:r>
                </w:p>
              </w:tc>
              <w:tc>
                <w:tcPr>
                  <w:tcW w:type="dxa" w:w="1644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79.6%</w:t>
                  </w:r>
                </w:p>
              </w:tc>
              <w:tc>
                <w:tcPr>
                  <w:tcW w:type="dxa" w:w="1474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91.8%</w:t>
                  </w:r>
                </w:p>
              </w:tc>
              <w:tc>
                <w:tcPr>
                  <w:tcW w:type="dxa" w:w="1644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+12.2 个百分点</w:t>
                  </w:r>
                </w:p>
              </w:tc>
            </w:tr>
            <w:tr>
              <w:tc>
                <w:tcPr>
                  <w:tcW w:type="dxa" w:w="3742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优秀率（≥85 分）</w:t>
                  </w:r>
                </w:p>
              </w:tc>
              <w:tc>
                <w:tcPr>
                  <w:tcW w:type="dxa" w:w="1644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12.2%</w:t>
                  </w:r>
                </w:p>
              </w:tc>
              <w:tc>
                <w:tcPr>
                  <w:tcW w:type="dxa" w:w="1474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22.4%</w:t>
                  </w:r>
                </w:p>
              </w:tc>
              <w:tc>
                <w:tcPr>
                  <w:tcW w:type="dxa" w:w="1644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+10.2 个百分点</w:t>
                  </w:r>
                </w:p>
              </w:tc>
            </w:tr>
            <w:tr>
              <w:tc>
                <w:tcPr>
                  <w:tcW w:type="dxa" w:w="3742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薄弱点复测通过率</w:t>
                  </w:r>
                </w:p>
              </w:tc>
              <w:tc>
                <w:tcPr>
                  <w:tcW w:type="dxa" w:w="1644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41.5%</w:t>
                  </w:r>
                </w:p>
              </w:tc>
              <w:tc>
                <w:tcPr>
                  <w:tcW w:type="dxa" w:w="1474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78.7%</w:t>
                  </w:r>
                </w:p>
              </w:tc>
              <w:tc>
                <w:tcPr>
                  <w:tcW w:type="dxa" w:w="1644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+37.2 个百分点</w:t>
                  </w:r>
                </w:p>
              </w:tc>
            </w:tr>
            <w:tr>
              <w:tc>
                <w:tcPr>
                  <w:tcW w:type="dxa" w:w="3742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单次作业平均用时（学生自报）</w:t>
                  </w:r>
                </w:p>
              </w:tc>
              <w:tc>
                <w:tcPr>
                  <w:tcW w:type="dxa" w:w="1644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96 分钟</w:t>
                  </w:r>
                </w:p>
              </w:tc>
              <w:tc>
                <w:tcPr>
                  <w:tcW w:type="dxa" w:w="1474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82 分钟</w:t>
                  </w:r>
                </w:p>
              </w:tc>
              <w:tc>
                <w:tcPr>
                  <w:tcW w:type="dxa" w:w="1644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−14.6%</w:t>
                  </w:r>
                </w:p>
              </w:tc>
            </w:tr>
            <w:tr>
              <w:tc>
                <w:tcPr>
                  <w:tcW w:type="dxa" w:w="3742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教师每周答疑工时</w:t>
                  </w:r>
                </w:p>
              </w:tc>
              <w:tc>
                <w:tcPr>
                  <w:tcW w:type="dxa" w:w="1644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6.5 小时</w:t>
                  </w:r>
                </w:p>
              </w:tc>
              <w:tc>
                <w:tcPr>
                  <w:tcW w:type="dxa" w:w="1474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2.4 小时</w:t>
                  </w:r>
                </w:p>
              </w:tc>
              <w:tc>
                <w:tcPr>
                  <w:tcW w:type="dxa" w:w="1644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−63.1%</w:t>
                  </w:r>
                </w:p>
              </w:tc>
            </w:tr>
            <w:tr>
              <w:tc>
                <w:tcPr>
                  <w:tcW w:type="dxa" w:w="3742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人均每周资料访问次数</w:t>
                  </w:r>
                </w:p>
              </w:tc>
              <w:tc>
                <w:tcPr>
                  <w:tcW w:type="dxa" w:w="1644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11.2 次</w:t>
                  </w:r>
                </w:p>
              </w:tc>
              <w:tc>
                <w:tcPr>
                  <w:tcW w:type="dxa" w:w="1474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18.6 次</w:t>
                  </w:r>
                </w:p>
              </w:tc>
              <w:tc>
                <w:tcPr>
                  <w:tcW w:type="dxa" w:w="1644"/>
                  <w:vAlign w:val="center"/>
                </w:tcPr>
                <w:p>
                  <w:pPr>
                    <w:spacing w:before="40" w:after="4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仿宋_GB2312"/>
                      <w:b w:val="0"/>
                      <w:sz w:val="20"/>
                    </w:rPr>
                    <w:t>+66.1%</w:t>
                  </w:r>
                </w:p>
              </w:tc>
            </w:tr>
          </w:tbl>
          <w:p/>
          <w:p/>
          <w:p>
            <w:pPr>
              <w:spacing w:line="240" w:lineRule="auto" w:before="40" w:after="40"/>
              <w:ind w:firstLine="0"/>
              <w:jc w:val="both"/>
            </w:pPr>
            <w:r>
              <w:rPr>
                <w:rFonts w:ascii="Times New Roman" w:hAnsi="Times New Roman" w:eastAsia="楷体"/>
                <w:b w:val="0"/>
                <w:sz w:val="18"/>
              </w:rPr>
              <w:t>注：同一教师、同一试卷；基线测查两班差异不显著（p=0.62）。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期末成绩独立样本 t 检验 t=3.42，p=0.001，Cohen's d=0.69，属中等偏大效应；两班基线测查无显著差异，可认为组间差异主要来自课后环节的干预。及格率的提升幅度大于平均分，说明受益最明显的是中后段学生——这恰好是传统答疑最难覆盖的群体。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过程数据：两轮累计答疑 3,872 条，平均首次响应 9.2 秒，91.3% 的回答带有可点击的资料出处。教师按月抽检 300 条，事实性错误率 2.1%；同期用通用大模型直接回答同一批问题，错误率为 11.7%。个人诊断单 1,176 份，教师复核的知识点归因准确率 87.4%，偏差主要集中在跨章节综合题。AI 生成题目 532 道，教师审核入库 386 道，通过率 72.6%，未通过的主因是“超出教学大纲”与“计算量过大”。参与复测的学生薄弱点平均提升 22.2 分（52.6→74.8）。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问卷与访谈：回收有效问卷 94 份（95.9%），89.4% 的学生认为诊断单“能说清自己卡在哪”，84.0% 认为 RAG 答疑“比通用 AI 更贴合本课程”，91.5% 希望下学期继续使用。教师侧每周用于 AI 审核与复核的时间约 52 分钟，较此前答疑节省 4.1 小时，这部分时间被重新投入到学情分析与个别约谈。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使用深度：诊断单推送后 72 小时内被打开的比例为 86.2%，其中 63.5% 的学生至少完成一条“同类追问”，41.8% 完成了全部三层任务；复测参与率 91.8%（90/98），未参加者中 5 人因课程冲突补测。个案方面，一名基线测查 54 分的学生，第 6 周诊断单显示其在“矢量分析”三个节点全部薄弱，教师据此安排了两次 20 分钟面批，第 14 周该模块复测得分 79 分，期末总评 71 分，是本轮提升幅度最大的个案之一。反过来看，两名始终未参与复测的学生期末仍不及格，提示“缺测”本身就是一个需要预警的信号。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值得记录的反面现象：约 12.8% 的学生出现不同程度的“直接要答案”倾向，表现为把题目整段贴进对话框。课程组的应对不是禁用，而是三处设计——提示词禁止直出答案、回答只给“下一步提示”、作业要求提交手写推导照片并随机抽检口述。两个月后，这类提问占比从 23.5% 降至 7.1%。这说明 AI 进课后环节，真正的风险不是技术不好用，而是把学习过程悄悄替换掉。</w:t>
            </w:r>
          </w:p>
          <w:p>
            <w:pPr>
              <w:keepNext/>
              <w:spacing w:line="360" w:lineRule="auto" w:before="200" w:after="120"/>
              <w:ind w:firstLine="0"/>
              <w:jc w:val="both"/>
            </w:pPr>
            <w:r>
              <w:rPr>
                <w:rFonts w:ascii="Times New Roman" w:hAnsi="Times New Roman" w:eastAsia="黑体"/>
                <w:b w:val="0"/>
                <w:sz w:val="24"/>
              </w:rPr>
              <w:t>（五）可推广性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适用范围：本案例适用于概念抽象、符号化程度高、习题量大的理工科基础课，如信号与系统、量子力学、电路分析、工程电磁场等；其“知识图谱作诊断坐标系 + 校本资料约束生成”的做法，也可迁移到医学、法学等依赖“标准 + 案例”的学科，只需把知识点树换成疾病或法条体系，把资料库换成教材与案例集。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推广条件有四条：一是“一门课一份可信资料库”，建议不少于 60 份并结构化到章节，这是 RAG 质量的下限；二是一套知识点标签体系，最少做到“章—节”两级，否则诊断无法定位；三是可执行的评分要点，主观题尤其需要，否则 AI 只能给出“看起来合理”的分数；四是教师投入，建库约 2—3 小时/轮，日常运维约每周 1 小时。四项中，资料库与评分要点最容易被低估，也最决定成败。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推广可按三步走：第一步，单门课试点，用一学期跑通“建库—诊断—复测”，重点验证资料质量与评分要点；第二步，院系内复制，把知识图谱与知识点标签做成模板，新课程只需替换内容、复用流程，本院“信号与系统”课程已按此路径完成建库并进入试用；第三步，跨校共享，资料库、提示词与评分要点以开源方式发布，其他学校可只替换教材章节，保留诊断与复测的流程设计。三步中，第二步的复用率最高，也最能说明这套做法不是某位教师的个人技巧。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技术与成本：平台为校内自研，前端 Vue 3.2.13 + TypeScript 4.9.5 + Ant Design Vue 4.2.6 + ECharts 5.5.1 + AntV G6 5.0.51，后端 Spring Boot 3.5.13 + Java 17 + MongoDB，RAG 核心链路约 400 行代码；大模型通过 API 调用国产 GLM-4.7，向量化使用 embedding-3，不依赖自建算力。一门课一学期的模型调用费用约 600 元，主要花在切片向量化与答疑生成上。平台可按院系整体部署，也可只复用“切片—检索—标注出处”这一段，接入学校已有的教学平台，改造成本更低。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局限与注意事项：其一，RAG 的上限由资料质量决定，“垃圾进、垃圾出”，扫描版 PDF 需先做 OCR，矢量图与场线图目前仍无法被有效解析，这是本案例最明显的短板；其二，主观题评分对评分要点高度依赖，要点写得粗，AI 的判断就粗，文科开放性写作需更细的规则甚至人工全评；其三，样本为单校两轮、三个班，结论仍需在多校多轮中检验；其四，必须防止“技术替代教师”的误读——AI 给的是建议分，终裁权始终在教师。</w:t>
            </w:r>
          </w:p>
          <w:p>
            <w:pPr>
              <w:spacing w:line="360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安全与合规：学生姓名、学号在入库前哈希化，答题数据仅用于教学诊断，不对外共享；每份 AI 生成材料页脚标注“本内容由 AI 生成，经教师审核”，提示词与输出记录留存 90 天备查；模型服务符合《生成式人工智能服务管理暂行办法》要求，选用已完成备案的国产模型；课程资料均为自编讲义与公开授权教材节选，不存在知识产权争议。</w:t>
            </w:r>
          </w:p>
          <w:p>
            <w:pPr>
              <w:keepNext/>
              <w:spacing w:line="360" w:lineRule="auto" w:before="120" w:after="80"/>
              <w:ind w:firstLine="0"/>
              <w:jc w:val="both"/>
            </w:pPr>
            <w:r>
              <w:rPr>
                <w:rFonts w:ascii="Times New Roman" w:hAnsi="Times New Roman" w:eastAsia="黑体"/>
                <w:b w:val="0"/>
                <w:sz w:val="24"/>
              </w:rPr>
              <w:t>（六）附件素材</w:t>
            </w:r>
          </w:p>
          <w:p>
            <w:pPr>
              <w:spacing w:line="312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1. 平台截图 8 张：知识图谱、带出处答疑、诊断单、热力图、成长报告。</w:t>
            </w:r>
          </w:p>
          <w:p>
            <w:pPr>
              <w:spacing w:line="312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2. 演示视频（3 分钟）：呈现一次完整闭环的操作实录。</w:t>
            </w:r>
          </w:p>
          <w:p>
            <w:pPr>
              <w:spacing w:line="312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3. 提示词全文：3 条系统提示词、12 条任务提示词，附 7 个版本的修订说明。</w:t>
            </w:r>
          </w:p>
          <w:p>
            <w:pPr>
              <w:spacing w:line="312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4. 评分要点样例：第 5 章波动方程推导题的四档评分标准（Rubric）。</w:t>
            </w:r>
          </w:p>
          <w:p>
            <w:pPr>
              <w:spacing w:line="312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5. 学生成长报告样例 2 份、问卷原始数据与统计脚本（均已脱敏）。</w:t>
            </w:r>
          </w:p>
          <w:p>
            <w:pPr>
              <w:spacing w:line="312" w:lineRule="auto" w:before="0" w:after="0"/>
              <w:ind w:firstLine="480"/>
              <w:jc w:val="both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6. AI 出题审核台账（532 道）、复核记录样例与数据安全说明（脱敏、标注、留痕）。</w:t>
            </w:r>
          </w:p>
        </w:tc>
      </w:tr>
    </w:tbl>
    <w:p w14:paraId="00387D3D">
      <w:pPr>
        <w:pageBreakBefore/>
        <w:numPr>
          <w:ilvl w:val="0"/>
          <w:numId w:val="1"/>
        </w:numPr>
        <w:kinsoku w:val="0"/>
        <w:autoSpaceDE w:val="0"/>
        <w:adjustRightInd w:val="0"/>
        <w:snapToGrid w:val="0"/>
        <w:spacing w:line="360" w:lineRule="auto"/>
        <w:ind w:left="720" w:leftChars="0" w:hanging="720" w:firstLineChars="0"/>
        <w:jc w:val="both"/>
        <w:textAlignment w:val="baseline"/>
        <w:rPr>
          <w:rFonts w:hint="eastAsia" w:ascii="Times New Roman Bold" w:hAnsi="Times New Roman Bold" w:eastAsia="黑体" w:cs="Times New Roman Bold"/>
          <w:b/>
          <w:bCs/>
          <w:color w:val="000000"/>
          <w:sz w:val="32"/>
          <w:szCs w:val="32"/>
          <w:lang w:val="en-US" w:eastAsia="zh-CN"/>
        </w:rPr>
      </w:pPr>
      <w:r>
        <w:rPr>
          <w:rFonts w:hint="eastAsia" w:ascii="Times New Roman Bold" w:hAnsi="Times New Roman Bold" w:eastAsia="黑体" w:cs="Times New Roman Bold"/>
          <w:b/>
          <w:bCs/>
          <w:color w:val="000000"/>
          <w:sz w:val="32"/>
          <w:szCs w:val="32"/>
          <w:lang w:val="en-US" w:eastAsia="zh-CN"/>
        </w:rPr>
        <w:t>签字和盖章页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5"/>
        <w:gridCol w:w="7015"/>
      </w:tblGrid>
      <w:tr w14:paraId="05172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2630" w:hRule="atLeast"/>
        </w:trPr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294D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113" w:right="113"/>
              <w:jc w:val="center"/>
              <w:rPr>
                <w:rFonts w:hint="default" w:ascii="仿宋_GB2312" w:hAnsi="仿宋_GB2312" w:eastAsia="仿宋_GB2312"/>
                <w:color w:val="000000"/>
              </w:rPr>
            </w:pPr>
            <w:r>
              <w:rPr>
                <w:rFonts w:hint="eastAsia" w:ascii="仿宋_GB2312" w:hAnsi="仿宋_GB2312" w:eastAsia="仿宋_GB2312"/>
                <w:color w:val="000000"/>
              </w:rPr>
              <w:t>案例负责人</w:t>
            </w:r>
          </w:p>
        </w:tc>
        <w:tc>
          <w:tcPr>
            <w:tcW w:w="70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9B68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uto"/>
              <w:ind w:left="0" w:right="0"/>
              <w:rPr>
                <w:rFonts w:hint="default" w:ascii="仿宋_GB2312" w:hAnsi="仿宋_GB2312" w:eastAsia="仿宋_GB2312"/>
                <w:color w:val="000000"/>
              </w:rPr>
            </w:pPr>
            <w:r>
              <w:rPr>
                <w:rFonts w:hint="eastAsia" w:ascii="仿宋_GB2312" w:hAnsi="仿宋_GB2312" w:eastAsia="仿宋_GB2312"/>
                <w:b/>
                <w:color w:val="000000"/>
                <w:lang w:eastAsia="zh"/>
                <w:woUserID w:val="1"/>
              </w:rPr>
              <w:t>案例</w:t>
            </w:r>
            <w:r>
              <w:rPr>
                <w:rFonts w:hint="eastAsia" w:ascii="仿宋_GB2312" w:hAnsi="仿宋_GB2312" w:eastAsia="仿宋_GB2312"/>
                <w:b/>
                <w:color w:val="000000"/>
              </w:rPr>
              <w:t>负责人承诺：</w:t>
            </w:r>
            <w:r>
              <w:rPr>
                <w:rFonts w:hint="eastAsia" w:ascii="仿宋_GB2312" w:hAnsi="仿宋_GB2312" w:eastAsia="仿宋_GB2312"/>
                <w:color w:val="000000"/>
              </w:rPr>
              <w:t>我承诺将履行负责人职责，遵守项目管理规定和学术规范，按照要求认真开展工作。</w:t>
            </w:r>
          </w:p>
          <w:p w14:paraId="45F67EFA">
            <w:pPr>
              <w:keepNext w:val="0"/>
              <w:keepLines w:val="0"/>
              <w:widowControl/>
              <w:suppressLineNumbers w:val="0"/>
              <w:spacing w:before="0" w:beforeAutospacing="0" w:after="468" w:afterLines="150" w:afterAutospacing="0"/>
              <w:ind w:left="0" w:right="0" w:firstLine="3000" w:firstLineChars="1250"/>
              <w:rPr>
                <w:rFonts w:hint="default" w:ascii="仿宋_GB2312" w:hAnsi="仿宋_GB2312" w:eastAsia="仿宋_GB2312"/>
                <w:color w:val="000000"/>
              </w:rPr>
            </w:pPr>
            <w:bookmarkStart w:id="0" w:name="OLE_LINK12"/>
            <w:bookmarkEnd w:id="0"/>
          </w:p>
          <w:p w14:paraId="1C7229B2">
            <w:pPr>
              <w:keepNext w:val="0"/>
              <w:keepLines w:val="0"/>
              <w:widowControl/>
              <w:suppressLineNumbers w:val="0"/>
              <w:spacing w:before="0" w:beforeAutospacing="0" w:after="468" w:afterLines="150" w:afterAutospacing="0"/>
              <w:ind w:left="0" w:right="0" w:firstLine="3000" w:firstLineChars="1250"/>
              <w:rPr>
                <w:rFonts w:hint="default" w:ascii="仿宋_GB2312" w:hAnsi="仿宋_GB2312" w:eastAsia="仿宋_GB2312"/>
                <w:color w:val="000000"/>
                <w:u w:val="single"/>
              </w:rPr>
            </w:pPr>
            <w:r>
              <w:rPr>
                <w:rFonts w:hint="eastAsia" w:ascii="仿宋_GB2312" w:hAnsi="仿宋_GB2312" w:eastAsia="仿宋_GB2312"/>
                <w:color w:val="000000"/>
                <w:lang w:eastAsia="zh"/>
                <w:woUserID w:val="1"/>
              </w:rPr>
              <w:t>案例</w:t>
            </w:r>
            <w:r>
              <w:rPr>
                <w:rFonts w:hint="eastAsia" w:ascii="仿宋_GB2312" w:hAnsi="仿宋_GB2312" w:eastAsia="仿宋_GB2312"/>
                <w:color w:val="000000"/>
              </w:rPr>
              <w:t>负责人（签字）</w:t>
            </w:r>
            <w:r>
              <w:rPr>
                <w:rFonts w:hint="default" w:ascii="仿宋_GB2312" w:hAnsi="仿宋_GB2312" w:eastAsia="仿宋_GB2312"/>
                <w:color w:val="000000"/>
                <w:u w:val="single"/>
              </w:rPr>
              <w:t xml:space="preserve">             </w:t>
            </w:r>
          </w:p>
          <w:p w14:paraId="62B64237">
            <w:pPr>
              <w:keepNext w:val="0"/>
              <w:keepLines w:val="0"/>
              <w:widowControl/>
              <w:suppressLineNumbers w:val="0"/>
              <w:spacing w:before="0" w:beforeAutospacing="0" w:after="468" w:afterLines="150" w:afterAutospacing="0"/>
              <w:ind w:left="0" w:right="0" w:firstLine="4612" w:firstLineChars="1922"/>
              <w:rPr>
                <w:rFonts w:hint="default" w:ascii="仿宋_GB2312" w:hAnsi="仿宋_GB2312" w:eastAsia="仿宋_GB2312"/>
                <w:color w:val="000000"/>
              </w:rPr>
            </w:pPr>
            <w:r>
              <w:rPr>
                <w:rFonts w:hint="eastAsia" w:ascii="仿宋_GB2312" w:hAnsi="仿宋_GB2312" w:eastAsia="仿宋_GB2312"/>
                <w:color w:val="000000"/>
              </w:rPr>
              <w:t xml:space="preserve">年 </w:t>
            </w:r>
            <w:r>
              <w:rPr>
                <w:rFonts w:hint="default" w:ascii="仿宋_GB2312" w:hAnsi="仿宋_GB2312" w:eastAsia="仿宋_GB2312"/>
                <w:color w:val="000000"/>
              </w:rPr>
              <w:t xml:space="preserve">   </w:t>
            </w:r>
            <w:r>
              <w:rPr>
                <w:rFonts w:hint="eastAsia" w:ascii="仿宋_GB2312" w:hAnsi="仿宋_GB2312" w:eastAsia="仿宋_GB2312"/>
                <w:color w:val="000000"/>
              </w:rPr>
              <w:t xml:space="preserve">月 </w:t>
            </w:r>
            <w:r>
              <w:rPr>
                <w:rFonts w:hint="default" w:ascii="仿宋_GB2312" w:hAnsi="仿宋_GB2312" w:eastAsia="仿宋_GB2312"/>
                <w:color w:val="000000"/>
              </w:rPr>
              <w:t xml:space="preserve">   </w:t>
            </w:r>
            <w:r>
              <w:rPr>
                <w:rFonts w:hint="eastAsia" w:ascii="仿宋_GB2312" w:hAnsi="仿宋_GB2312" w:eastAsia="仿宋_GB2312"/>
                <w:color w:val="000000"/>
              </w:rPr>
              <w:t>日</w:t>
            </w:r>
          </w:p>
        </w:tc>
      </w:tr>
      <w:tr w14:paraId="18D69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8" w:hRule="atLeast"/>
        </w:trPr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1E48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113" w:right="113"/>
              <w:jc w:val="center"/>
              <w:rPr>
                <w:rFonts w:hint="default" w:ascii="仿宋_GB2312" w:hAnsi="仿宋_GB2312" w:eastAsia="仿宋_GB2312"/>
                <w:color w:val="000000"/>
              </w:rPr>
            </w:pPr>
            <w:r>
              <w:rPr>
                <w:rFonts w:hint="eastAsia" w:ascii="仿宋_GB2312" w:hAnsi="仿宋_GB2312" w:eastAsia="仿宋_GB2312"/>
                <w:color w:val="000000"/>
                <w:lang w:eastAsia="zh"/>
                <w:woUserID w:val="1"/>
              </w:rPr>
              <w:t>申报</w:t>
            </w:r>
            <w:r>
              <w:rPr>
                <w:rFonts w:hint="eastAsia" w:ascii="仿宋_GB2312" w:hAnsi="仿宋_GB2312" w:eastAsia="仿宋_GB2312"/>
                <w:color w:val="000000"/>
              </w:rPr>
              <w:t>单位意见</w:t>
            </w:r>
          </w:p>
        </w:tc>
        <w:tc>
          <w:tcPr>
            <w:tcW w:w="70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C7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仿宋_GB2312" w:hAnsi="仿宋_GB2312" w:eastAsia="仿宋_GB2312"/>
                <w:color w:val="000000"/>
              </w:rPr>
            </w:pPr>
            <w:r>
              <w:rPr>
                <w:rFonts w:hint="eastAsia" w:ascii="仿宋_GB2312" w:hAnsi="仿宋_GB2312" w:eastAsia="仿宋_GB2312"/>
                <w:color w:val="000000"/>
              </w:rPr>
              <w:t>已对申</w:t>
            </w:r>
            <w:r>
              <w:rPr>
                <w:rFonts w:hint="eastAsia" w:ascii="仿宋_GB2312" w:hAnsi="仿宋_GB2312" w:eastAsia="仿宋_GB2312"/>
                <w:color w:val="000000"/>
                <w:lang w:eastAsia="zh"/>
                <w:woUserID w:val="1"/>
              </w:rPr>
              <w:t>报</w:t>
            </w:r>
            <w:r>
              <w:rPr>
                <w:rFonts w:hint="eastAsia" w:ascii="仿宋_GB2312" w:hAnsi="仿宋_GB2312" w:eastAsia="仿宋_GB2312"/>
                <w:color w:val="000000"/>
              </w:rPr>
              <w:t>书内容进行审查，同意申报。</w:t>
            </w:r>
          </w:p>
          <w:p w14:paraId="20F36DB3">
            <w:pPr>
              <w:keepNext w:val="0"/>
              <w:keepLines w:val="0"/>
              <w:widowControl/>
              <w:suppressLineNumbers w:val="0"/>
              <w:spacing w:before="0" w:beforeAutospacing="0" w:after="468" w:afterLines="150" w:afterAutospacing="0"/>
              <w:ind w:left="0" w:right="0" w:firstLine="3000" w:firstLineChars="1250"/>
              <w:rPr>
                <w:rFonts w:hint="default" w:ascii="仿宋_GB2312" w:hAnsi="仿宋_GB2312" w:eastAsia="仿宋_GB2312"/>
                <w:color w:val="000000"/>
              </w:rPr>
            </w:pPr>
          </w:p>
          <w:p w14:paraId="35C435FC">
            <w:pPr>
              <w:keepNext w:val="0"/>
              <w:keepLines w:val="0"/>
              <w:widowControl/>
              <w:suppressLineNumbers w:val="0"/>
              <w:spacing w:before="0" w:beforeAutospacing="0" w:after="468" w:afterLines="150" w:afterAutospacing="0"/>
              <w:ind w:left="0" w:right="0" w:firstLine="2400" w:firstLineChars="1000"/>
              <w:rPr>
                <w:rFonts w:hint="default" w:ascii="仿宋_GB2312" w:hAnsi="仿宋_GB2312" w:eastAsia="仿宋_GB2312"/>
                <w:color w:val="000000"/>
                <w:u w:val="single"/>
              </w:rPr>
            </w:pPr>
            <w:r>
              <w:rPr>
                <w:rFonts w:hint="eastAsia" w:ascii="仿宋_GB2312" w:hAnsi="仿宋_GB2312" w:eastAsia="仿宋_GB2312"/>
                <w:color w:val="000000"/>
              </w:rPr>
              <w:t>负责人（签字及盖章）</w:t>
            </w:r>
            <w:r>
              <w:rPr>
                <w:rFonts w:hint="default" w:ascii="仿宋_GB2312" w:hAnsi="仿宋_GB2312" w:eastAsia="仿宋_GB2312"/>
                <w:color w:val="000000"/>
                <w:u w:val="single"/>
              </w:rPr>
              <w:t xml:space="preserve">                </w:t>
            </w:r>
          </w:p>
          <w:p w14:paraId="4357C2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080" w:firstLineChars="1700"/>
              <w:rPr>
                <w:rFonts w:hint="default" w:ascii="仿宋_GB2312" w:hAnsi="仿宋_GB2312" w:eastAsia="仿宋_GB2312"/>
                <w:color w:val="000000"/>
              </w:rPr>
            </w:pPr>
            <w:r>
              <w:rPr>
                <w:rFonts w:hint="eastAsia" w:ascii="仿宋_GB2312" w:hAnsi="仿宋_GB2312" w:eastAsia="仿宋_GB2312"/>
                <w:color w:val="000000"/>
              </w:rPr>
              <w:t xml:space="preserve">年 </w:t>
            </w:r>
            <w:r>
              <w:rPr>
                <w:rFonts w:hint="default" w:ascii="仿宋_GB2312" w:hAnsi="仿宋_GB2312" w:eastAsia="仿宋_GB2312"/>
                <w:color w:val="000000"/>
              </w:rPr>
              <w:t xml:space="preserve">   </w:t>
            </w:r>
            <w:r>
              <w:rPr>
                <w:rFonts w:hint="eastAsia" w:ascii="仿宋_GB2312" w:hAnsi="仿宋_GB2312" w:eastAsia="仿宋_GB2312"/>
                <w:color w:val="000000"/>
              </w:rPr>
              <w:t xml:space="preserve">月 </w:t>
            </w:r>
            <w:r>
              <w:rPr>
                <w:rFonts w:hint="default" w:ascii="仿宋_GB2312" w:hAnsi="仿宋_GB2312" w:eastAsia="仿宋_GB2312"/>
                <w:color w:val="000000"/>
              </w:rPr>
              <w:t xml:space="preserve">   </w:t>
            </w:r>
            <w:r>
              <w:rPr>
                <w:rFonts w:hint="eastAsia" w:ascii="仿宋_GB2312" w:hAnsi="仿宋_GB2312" w:eastAsia="仿宋_GB2312"/>
                <w:color w:val="000000"/>
              </w:rPr>
              <w:t>日</w:t>
            </w:r>
          </w:p>
        </w:tc>
      </w:tr>
      <w:tr w14:paraId="40651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3" w:hRule="atLeast"/>
        </w:trPr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F9D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113" w:right="113"/>
              <w:jc w:val="center"/>
              <w:rPr>
                <w:rFonts w:hint="default" w:ascii="仿宋_GB2312" w:hAnsi="仿宋_GB2312" w:eastAsia="仿宋_GB2312"/>
                <w:color w:val="000000"/>
              </w:rPr>
            </w:pPr>
            <w:r>
              <w:rPr>
                <w:rFonts w:hint="eastAsia" w:ascii="仿宋_GB2312" w:hAnsi="仿宋_GB2312" w:eastAsia="仿宋_GB2312"/>
                <w:color w:val="000000"/>
              </w:rPr>
              <w:t>专家评审意见</w:t>
            </w:r>
          </w:p>
        </w:tc>
        <w:tc>
          <w:tcPr>
            <w:tcW w:w="70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3B50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120" w:firstLineChars="1300"/>
              <w:rPr>
                <w:rFonts w:hint="default" w:ascii="仿宋_GB2312" w:hAnsi="仿宋_GB2312" w:eastAsia="仿宋_GB2312"/>
                <w:color w:val="000000"/>
              </w:rPr>
            </w:pPr>
          </w:p>
          <w:p w14:paraId="2D9443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120" w:firstLineChars="1300"/>
              <w:rPr>
                <w:rFonts w:hint="default" w:ascii="仿宋_GB2312" w:hAnsi="仿宋_GB2312" w:eastAsia="仿宋_GB2312"/>
                <w:color w:val="000000"/>
              </w:rPr>
            </w:pPr>
          </w:p>
          <w:p w14:paraId="2BEBF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120" w:firstLineChars="1300"/>
              <w:rPr>
                <w:rFonts w:hint="default" w:ascii="仿宋_GB2312" w:hAnsi="仿宋_GB2312" w:eastAsia="仿宋_GB2312"/>
                <w:color w:val="000000"/>
              </w:rPr>
            </w:pPr>
          </w:p>
          <w:p w14:paraId="16E780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120" w:firstLineChars="1300"/>
              <w:rPr>
                <w:rFonts w:hint="default" w:ascii="仿宋_GB2312" w:hAnsi="仿宋_GB2312" w:eastAsia="仿宋_GB2312"/>
                <w:color w:val="000000"/>
              </w:rPr>
            </w:pPr>
          </w:p>
          <w:p w14:paraId="4A4071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120" w:firstLineChars="1300"/>
              <w:rPr>
                <w:rFonts w:hint="default" w:ascii="仿宋_GB2312" w:hAnsi="仿宋_GB2312" w:eastAsia="仿宋_GB2312"/>
                <w:color w:val="000000"/>
              </w:rPr>
            </w:pPr>
          </w:p>
          <w:p w14:paraId="25621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120" w:firstLineChars="1300"/>
              <w:rPr>
                <w:rFonts w:hint="default" w:ascii="仿宋_GB2312" w:hAnsi="仿宋_GB2312" w:eastAsia="仿宋_GB2312"/>
                <w:color w:val="000000"/>
              </w:rPr>
            </w:pPr>
          </w:p>
          <w:p w14:paraId="3EC711DD">
            <w:pPr>
              <w:keepNext w:val="0"/>
              <w:keepLines w:val="0"/>
              <w:widowControl/>
              <w:suppressLineNumbers w:val="0"/>
              <w:spacing w:before="0" w:beforeAutospacing="0" w:after="468" w:afterLines="150" w:afterAutospacing="0"/>
              <w:ind w:left="0" w:right="0" w:firstLine="2400" w:firstLineChars="1000"/>
              <w:rPr>
                <w:rFonts w:hint="default" w:ascii="仿宋_GB2312" w:hAnsi="仿宋_GB2312" w:eastAsia="仿宋_GB2312"/>
                <w:color w:val="000000"/>
                <w:u w:val="single"/>
              </w:rPr>
            </w:pPr>
            <w:r>
              <w:rPr>
                <w:rFonts w:hint="eastAsia" w:ascii="仿宋_GB2312" w:hAnsi="仿宋_GB2312" w:eastAsia="仿宋_GB2312"/>
                <w:color w:val="000000"/>
              </w:rPr>
              <w:t xml:space="preserve">评审组组长（签字） </w:t>
            </w:r>
            <w:r>
              <w:rPr>
                <w:rFonts w:hint="default" w:ascii="仿宋_GB2312" w:hAnsi="仿宋_GB2312" w:eastAsia="仿宋_GB2312"/>
                <w:color w:val="000000"/>
                <w:u w:val="single"/>
              </w:rPr>
              <w:t xml:space="preserve">                 </w:t>
            </w:r>
          </w:p>
          <w:p w14:paraId="7605323C">
            <w:pPr>
              <w:keepNext w:val="0"/>
              <w:keepLines w:val="0"/>
              <w:widowControl/>
              <w:suppressLineNumbers w:val="0"/>
              <w:spacing w:before="0" w:beforeAutospacing="0" w:after="468" w:afterLines="150" w:afterAutospacing="0"/>
              <w:ind w:left="0" w:right="0" w:firstLine="4680" w:firstLineChars="1950"/>
              <w:rPr>
                <w:rFonts w:hint="default" w:ascii="仿宋_GB2312" w:hAnsi="仿宋_GB2312" w:eastAsia="仿宋_GB2312"/>
                <w:color w:val="000000"/>
              </w:rPr>
            </w:pPr>
            <w:r>
              <w:rPr>
                <w:rFonts w:hint="eastAsia" w:ascii="仿宋_GB2312" w:hAnsi="仿宋_GB2312" w:eastAsia="仿宋_GB2312"/>
                <w:color w:val="000000"/>
              </w:rPr>
              <w:t xml:space="preserve">年 </w:t>
            </w:r>
            <w:r>
              <w:rPr>
                <w:rFonts w:hint="default" w:ascii="仿宋_GB2312" w:hAnsi="仿宋_GB2312" w:eastAsia="仿宋_GB2312"/>
                <w:color w:val="000000"/>
              </w:rPr>
              <w:t xml:space="preserve">   </w:t>
            </w:r>
            <w:r>
              <w:rPr>
                <w:rFonts w:hint="eastAsia" w:ascii="仿宋_GB2312" w:hAnsi="仿宋_GB2312" w:eastAsia="仿宋_GB2312"/>
                <w:color w:val="000000"/>
              </w:rPr>
              <w:t xml:space="preserve">月 </w:t>
            </w:r>
            <w:r>
              <w:rPr>
                <w:rFonts w:hint="default" w:ascii="仿宋_GB2312" w:hAnsi="仿宋_GB2312" w:eastAsia="仿宋_GB2312"/>
                <w:color w:val="000000"/>
              </w:rPr>
              <w:t xml:space="preserve">   </w:t>
            </w:r>
            <w:r>
              <w:rPr>
                <w:rFonts w:hint="eastAsia" w:ascii="仿宋_GB2312" w:hAnsi="仿宋_GB2312" w:eastAsia="仿宋_GB2312"/>
                <w:color w:val="000000"/>
              </w:rPr>
              <w:t>日</w:t>
            </w:r>
          </w:p>
        </w:tc>
      </w:tr>
      <w:tr w14:paraId="0C217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480" w:hRule="atLeast"/>
        </w:trPr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B540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color w:val="000000"/>
              </w:rPr>
            </w:pPr>
            <w:r>
              <w:rPr>
                <w:rFonts w:hint="eastAsia" w:ascii="仿宋_GB2312" w:hAnsi="仿宋_GB2312" w:eastAsia="仿宋_GB2312"/>
                <w:color w:val="000000"/>
              </w:rPr>
              <w:t>培养协同处意见</w:t>
            </w:r>
          </w:p>
        </w:tc>
        <w:tc>
          <w:tcPr>
            <w:tcW w:w="70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7434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仿宋_GB2312" w:hAnsi="仿宋_GB2312" w:eastAsia="仿宋_GB2312"/>
                <w:color w:val="000000"/>
              </w:rPr>
            </w:pPr>
          </w:p>
          <w:p w14:paraId="63152C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720" w:firstLineChars="1550"/>
              <w:rPr>
                <w:rFonts w:hint="default" w:ascii="仿宋_GB2312" w:hAnsi="仿宋_GB2312" w:eastAsia="仿宋_GB2312"/>
                <w:color w:val="000000"/>
              </w:rPr>
            </w:pPr>
          </w:p>
          <w:p w14:paraId="3E5F0D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720" w:firstLineChars="1550"/>
              <w:rPr>
                <w:rFonts w:hint="default" w:ascii="仿宋_GB2312" w:hAnsi="仿宋_GB2312" w:eastAsia="仿宋_GB2312"/>
                <w:color w:val="000000"/>
              </w:rPr>
            </w:pPr>
          </w:p>
          <w:p w14:paraId="5F8AA4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720" w:firstLineChars="1550"/>
              <w:rPr>
                <w:rFonts w:hint="default" w:ascii="仿宋_GB2312" w:hAnsi="仿宋_GB2312" w:eastAsia="仿宋_GB2312"/>
                <w:color w:val="000000"/>
              </w:rPr>
            </w:pPr>
          </w:p>
          <w:p w14:paraId="64E285E0">
            <w:pPr>
              <w:keepNext w:val="0"/>
              <w:keepLines w:val="0"/>
              <w:widowControl/>
              <w:suppressLineNumbers w:val="0"/>
              <w:tabs>
                <w:tab w:val="left" w:pos="6710"/>
              </w:tabs>
              <w:spacing w:before="0" w:beforeAutospacing="0" w:after="468" w:afterLines="150" w:afterAutospacing="0"/>
              <w:ind w:left="0" w:right="0" w:firstLine="2280" w:firstLineChars="950"/>
              <w:rPr>
                <w:rFonts w:hint="default" w:ascii="仿宋_GB2312" w:hAnsi="仿宋_GB2312" w:eastAsia="仿宋_GB2312"/>
                <w:color w:val="000000"/>
                <w:u w:val="single"/>
              </w:rPr>
            </w:pPr>
            <w:r>
              <w:rPr>
                <w:rFonts w:hint="eastAsia" w:ascii="仿宋_GB2312" w:hAnsi="仿宋_GB2312" w:eastAsia="仿宋_GB2312"/>
                <w:color w:val="000000"/>
              </w:rPr>
              <w:t xml:space="preserve">负责人（签字及盖章） </w:t>
            </w:r>
            <w:r>
              <w:rPr>
                <w:rFonts w:hint="default" w:ascii="仿宋_GB2312" w:hAnsi="仿宋_GB2312" w:eastAsia="仿宋_GB2312"/>
                <w:color w:val="000000"/>
                <w:u w:val="single"/>
              </w:rPr>
              <w:t xml:space="preserve">               </w:t>
            </w:r>
          </w:p>
          <w:p w14:paraId="6136BDF0">
            <w:pPr>
              <w:keepNext w:val="0"/>
              <w:keepLines w:val="0"/>
              <w:widowControl/>
              <w:suppressLineNumbers w:val="0"/>
              <w:spacing w:before="0" w:beforeAutospacing="0" w:after="468" w:afterLines="150" w:afterAutospacing="0"/>
              <w:ind w:left="0" w:right="0" w:firstLine="4680" w:firstLineChars="1950"/>
              <w:rPr>
                <w:rFonts w:hint="default" w:ascii="仿宋_GB2312" w:hAnsi="仿宋_GB2312" w:eastAsia="仿宋_GB2312"/>
                <w:color w:val="000000"/>
              </w:rPr>
            </w:pPr>
            <w:r>
              <w:rPr>
                <w:rFonts w:hint="eastAsia" w:ascii="仿宋_GB2312" w:hAnsi="仿宋_GB2312" w:eastAsia="仿宋_GB2312"/>
                <w:color w:val="000000"/>
              </w:rPr>
              <w:t xml:space="preserve">年 </w:t>
            </w:r>
            <w:r>
              <w:rPr>
                <w:rFonts w:hint="default" w:ascii="仿宋_GB2312" w:hAnsi="仿宋_GB2312" w:eastAsia="仿宋_GB2312"/>
                <w:color w:val="000000"/>
              </w:rPr>
              <w:t xml:space="preserve">   </w:t>
            </w:r>
            <w:r>
              <w:rPr>
                <w:rFonts w:hint="eastAsia" w:ascii="仿宋_GB2312" w:hAnsi="仿宋_GB2312" w:eastAsia="仿宋_GB2312"/>
                <w:color w:val="000000"/>
              </w:rPr>
              <w:t xml:space="preserve">月 </w:t>
            </w:r>
            <w:r>
              <w:rPr>
                <w:rFonts w:hint="default" w:ascii="仿宋_GB2312" w:hAnsi="仿宋_GB2312" w:eastAsia="仿宋_GB2312"/>
                <w:color w:val="000000"/>
              </w:rPr>
              <w:t xml:space="preserve">   </w:t>
            </w:r>
            <w:r>
              <w:rPr>
                <w:rFonts w:hint="eastAsia" w:ascii="仿宋_GB2312" w:hAnsi="仿宋_GB2312" w:eastAsia="仿宋_GB2312"/>
                <w:color w:val="000000"/>
              </w:rPr>
              <w:t>日</w:t>
            </w:r>
          </w:p>
        </w:tc>
      </w:tr>
    </w:tbl>
    <w:p w14:paraId="37C8FBF1">
      <w:pPr>
        <w:kinsoku w:val="0"/>
        <w:autoSpaceDE w:val="0"/>
        <w:adjustRightInd w:val="0"/>
        <w:snapToGrid w:val="0"/>
        <w:spacing w:line="360" w:lineRule="auto"/>
        <w:jc w:val="both"/>
        <w:textAlignment w:val="baseline"/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Bold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方正小标宋简体">
    <w:altName w:val="Times New Roman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方正小标宋_GBK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 Italic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仿宋">
    <w:altName w:val="Times New Roman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Times New Roman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2826E">
    <w:pPr>
      <w:pStyle w:val="11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67EF80">
                          <w:pPr>
                            <w:pStyle w:val="11"/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67EF80">
                    <w:pPr>
                      <w:pStyle w:val="11"/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643BF5"/>
    <w:multiLevelType w:val="multilevel"/>
    <w:tmpl w:val="58643BF5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320"/>
    <w:rsid w:val="00034C80"/>
    <w:rsid w:val="00076183"/>
    <w:rsid w:val="000F68E5"/>
    <w:rsid w:val="001061E3"/>
    <w:rsid w:val="001217F5"/>
    <w:rsid w:val="00122FBE"/>
    <w:rsid w:val="001613D2"/>
    <w:rsid w:val="0020243C"/>
    <w:rsid w:val="00291F9A"/>
    <w:rsid w:val="002F7BB6"/>
    <w:rsid w:val="003A56F7"/>
    <w:rsid w:val="00417432"/>
    <w:rsid w:val="004B38CB"/>
    <w:rsid w:val="00523FAA"/>
    <w:rsid w:val="005D7367"/>
    <w:rsid w:val="005E2225"/>
    <w:rsid w:val="005E3231"/>
    <w:rsid w:val="006571A5"/>
    <w:rsid w:val="006612E6"/>
    <w:rsid w:val="006B4546"/>
    <w:rsid w:val="00726A83"/>
    <w:rsid w:val="007438E9"/>
    <w:rsid w:val="00886319"/>
    <w:rsid w:val="008C516D"/>
    <w:rsid w:val="00907FDB"/>
    <w:rsid w:val="00955794"/>
    <w:rsid w:val="00987507"/>
    <w:rsid w:val="0099269E"/>
    <w:rsid w:val="009A5852"/>
    <w:rsid w:val="00A318F6"/>
    <w:rsid w:val="00A32317"/>
    <w:rsid w:val="00A404C6"/>
    <w:rsid w:val="00B9248A"/>
    <w:rsid w:val="00BA4AC3"/>
    <w:rsid w:val="00BB3060"/>
    <w:rsid w:val="00BE2320"/>
    <w:rsid w:val="00C24919"/>
    <w:rsid w:val="00C41BE7"/>
    <w:rsid w:val="00C5730F"/>
    <w:rsid w:val="00D15C5C"/>
    <w:rsid w:val="00E33B0B"/>
    <w:rsid w:val="00E57F4F"/>
    <w:rsid w:val="00EF5B3B"/>
    <w:rsid w:val="09592573"/>
    <w:rsid w:val="16F754B4"/>
    <w:rsid w:val="1E9DEAD4"/>
    <w:rsid w:val="1F75E1D5"/>
    <w:rsid w:val="272FD8FD"/>
    <w:rsid w:val="333FAEE2"/>
    <w:rsid w:val="3ED7006A"/>
    <w:rsid w:val="3EF7964A"/>
    <w:rsid w:val="3FF7040F"/>
    <w:rsid w:val="3FFE8DEA"/>
    <w:rsid w:val="46976746"/>
    <w:rsid w:val="555D804D"/>
    <w:rsid w:val="5B2CD8B5"/>
    <w:rsid w:val="5EFB001C"/>
    <w:rsid w:val="5FED780F"/>
    <w:rsid w:val="5FFF2D14"/>
    <w:rsid w:val="62377045"/>
    <w:rsid w:val="677349A0"/>
    <w:rsid w:val="695FB25C"/>
    <w:rsid w:val="75FFAE32"/>
    <w:rsid w:val="77FB4D99"/>
    <w:rsid w:val="7A7E2AFD"/>
    <w:rsid w:val="7BD6D25F"/>
    <w:rsid w:val="7BFEE09A"/>
    <w:rsid w:val="7EFFCFEB"/>
    <w:rsid w:val="7F5FFAD3"/>
    <w:rsid w:val="7F7447AF"/>
    <w:rsid w:val="7F7F1D72"/>
    <w:rsid w:val="7F9C2B49"/>
    <w:rsid w:val="7FB3CF8E"/>
    <w:rsid w:val="7FBF07DB"/>
    <w:rsid w:val="7FCF5319"/>
    <w:rsid w:val="7FF70E96"/>
    <w:rsid w:val="7FFBE30C"/>
    <w:rsid w:val="9A7CEA0F"/>
    <w:rsid w:val="9DB68A44"/>
    <w:rsid w:val="A7FF2CD3"/>
    <w:rsid w:val="A96DDD84"/>
    <w:rsid w:val="B5FE5400"/>
    <w:rsid w:val="BE3E63CF"/>
    <w:rsid w:val="BEFF318B"/>
    <w:rsid w:val="BF8FF404"/>
    <w:rsid w:val="BFD79D32"/>
    <w:rsid w:val="C1DF8901"/>
    <w:rsid w:val="C3BD88DC"/>
    <w:rsid w:val="CDFF3D13"/>
    <w:rsid w:val="CFEFF586"/>
    <w:rsid w:val="CFFDCE88"/>
    <w:rsid w:val="CFFF2490"/>
    <w:rsid w:val="D5BE8B18"/>
    <w:rsid w:val="D748C0E1"/>
    <w:rsid w:val="D92F2347"/>
    <w:rsid w:val="DB3FE387"/>
    <w:rsid w:val="DF6E1E03"/>
    <w:rsid w:val="DFFFF519"/>
    <w:rsid w:val="E1EE8F54"/>
    <w:rsid w:val="EF760AAA"/>
    <w:rsid w:val="F0199E5E"/>
    <w:rsid w:val="F6F908B6"/>
    <w:rsid w:val="FAFF8085"/>
    <w:rsid w:val="FAFFF34B"/>
    <w:rsid w:val="FBEB7D43"/>
    <w:rsid w:val="FC7E6057"/>
    <w:rsid w:val="FDBF7AF8"/>
    <w:rsid w:val="FDEB7291"/>
    <w:rsid w:val="FECD56EF"/>
    <w:rsid w:val="FEF3972C"/>
    <w:rsid w:val="FFBF04DF"/>
    <w:rsid w:val="FFDD0792"/>
    <w:rsid w:val="FFFB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customStyle="1" w:styleId="19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2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8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明显参考1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1"/>
    <w:qFormat/>
    <w:uiPriority w:val="99"/>
    <w:rPr>
      <w:sz w:val="18"/>
      <w:szCs w:val="18"/>
    </w:rPr>
  </w:style>
  <w:style w:type="table" w:customStyle="1" w:styleId="39">
    <w:name w:val="Table Normal"/>
    <w:basedOn w:val="16"/>
    <w:qFormat/>
    <w:uiPriority w:val="0"/>
    <w:rPr>
      <w:rFonts w:eastAsia="Times New Roman"/>
    </w:rPr>
    <w:tblPr>
      <w:tblCellMar>
        <w:left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190</Words>
  <Characters>1084</Characters>
  <Lines>1</Lines>
  <Paragraphs>1</Paragraphs>
  <TotalTime>0</TotalTime>
  <ScaleCrop>false</ScaleCrop>
  <LinksUpToDate>false</LinksUpToDate>
  <CharactersWithSpaces>1272</CharactersWithSpaces>
  <Application>WPS Office WWO_wpscloud_20261009125621-c73fd9270f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2026-05-28T08:03:00Z</dcterms:created>
  <dc:creator>YuQing Wang</dc:creator>
  <cp:lastModifiedBy>张燕</cp:lastModifiedBy>
  <cp:lastPrinted>2026-03-20T02:40:00Z</cp:lastPrinted>
  <dcterms:modified xsi:type="dcterms:W3CDTF">2026-10-26T17:00:29Z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2052-12.9.0.29208</vt:lpwstr>
  </property>
  <property fmtid="{D5CDD505-2E9C-101B-9397-08002B2CF9AE}" pid="3" name="ICV">
    <vt:lpwstr>9C70F91AB158AC18AD16DF6AB9A477A9_43</vt:lpwstr>
  </property>
</Properties>
</file>