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p>
      <w:pPr>
        <w:pStyle w:val="Normal"/>
        <w:bidi w:val="0"/>
        <w:jc w:val="start"/>
        <w:rPr/>
      </w:pPr>
      <w:r>
        <w:rPr/>
        <w:t>BT 413</w:t>
      </w:r>
    </w:p>
    <w:p>
      <w:pPr>
        <w:pStyle w:val="Normal"/>
        <w:bidi w:val="0"/>
        <w:jc w:val="both"/>
        <w:rPr>
          <w:rFonts w:ascii="Times New Roman" w:hAnsi="Times New Roman" w:cs="Times New Roman"/>
          <w:sz w:val="24"/>
          <w:szCs w:val="24"/>
        </w:rPr>
      </w:pPr>
      <w:r>
        <w:rPr>
          <w:rFonts w:cs="Times New Roman" w:ascii="Times New Roman" w:hAnsi="Times New Roman"/>
          <w:sz w:val="24"/>
          <w:szCs w:val="24"/>
        </w:rPr>
        <w:t>QN. Imagine you are a project manager in charge of a large IT project. The project is halfway through, and you have just realized that the costs significantly exceed the budget. Your initial estimates were based on the Definitive Estimate method. However, unexpected technical difficulties and changes in project scope have led to increased expenses.</w:t>
      </w:r>
    </w:p>
    <w:p>
      <w:pPr>
        <w:pStyle w:val="ListParagraph"/>
        <w:numPr>
          <w:ilvl w:val="0"/>
          <w:numId w:val="1"/>
        </w:numPr>
        <w:bidi w:val="0"/>
        <w:jc w:val="both"/>
        <w:rPr>
          <w:rFonts w:ascii="Times New Roman" w:hAnsi="Times New Roman" w:cs="Times New Roman"/>
          <w:sz w:val="24"/>
          <w:szCs w:val="24"/>
        </w:rPr>
      </w:pPr>
      <w:r>
        <w:rPr>
          <w:rFonts w:cs="Times New Roman" w:ascii="Times New Roman" w:hAnsi="Times New Roman"/>
          <w:sz w:val="24"/>
          <w:szCs w:val="24"/>
        </w:rPr>
        <w:t xml:space="preserve">How would you apply project cost management principles to keep this project on track? </w:t>
      </w:r>
    </w:p>
    <w:p>
      <w:pPr>
        <w:pStyle w:val="ListParagraph"/>
        <w:numPr>
          <w:ilvl w:val="0"/>
          <w:numId w:val="1"/>
        </w:numPr>
        <w:bidi w:val="0"/>
        <w:jc w:val="both"/>
        <w:rPr>
          <w:rFonts w:ascii="Times New Roman" w:hAnsi="Times New Roman" w:cs="Times New Roman"/>
          <w:sz w:val="24"/>
          <w:szCs w:val="24"/>
        </w:rPr>
      </w:pPr>
      <w:r>
        <w:rPr>
          <w:rFonts w:cs="Times New Roman" w:ascii="Times New Roman" w:hAnsi="Times New Roman"/>
          <w:sz w:val="24"/>
          <w:szCs w:val="24"/>
        </w:rPr>
        <w:t>Discuss specific strategies and tools you would use to re-evaluate the project budget and manage the cost variance effectively.</w:t>
      </w:r>
    </w:p>
    <w:p>
      <w:pPr>
        <w:pStyle w:val="ListParagraph"/>
        <w:bidi w:val="0"/>
        <w:ind w:start="72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bidi w:val="0"/>
        <w:ind w:start="72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bidi w:val="0"/>
        <w:ind w:start="720" w:hanging="0"/>
        <w:jc w:val="both"/>
        <w:rPr>
          <w:rFonts w:ascii="Times New Roman" w:hAnsi="Times New Roman" w:cs="Times New Roman"/>
          <w:sz w:val="24"/>
          <w:szCs w:val="24"/>
        </w:rPr>
      </w:pPr>
      <w:r>
        <w:rPr>
          <w:rFonts w:cs="Times New Roman" w:ascii="Times New Roman" w:hAnsi="Times New Roman"/>
          <w:sz w:val="24"/>
          <w:szCs w:val="24"/>
        </w:rPr>
        <w:t>ANSWER</w:t>
      </w:r>
    </w:p>
    <w:p>
      <w:pPr>
        <w:pStyle w:val="ListParagraph"/>
        <w:bidi w:val="0"/>
        <w:ind w:start="720" w:hanging="0"/>
        <w:jc w:val="both"/>
        <w:rPr>
          <w:rFonts w:ascii="Times New Roman" w:hAnsi="Times New Roman" w:cs="Times New Roman"/>
          <w:sz w:val="24"/>
          <w:szCs w:val="24"/>
        </w:rPr>
      </w:pPr>
      <w:r>
        <w:rPr>
          <w:rFonts w:cs="Times New Roman" w:ascii="Times New Roman" w:hAnsi="Times New Roman"/>
          <w:sz w:val="24"/>
          <w:szCs w:val="24"/>
        </w:rPr>
        <w:t>A. Project management principles that could help to keep the project on track</w:t>
      </w:r>
    </w:p>
    <w:p>
      <w:pPr>
        <w:pStyle w:val="ListParagraph"/>
        <w:numPr>
          <w:ilvl w:val="0"/>
          <w:numId w:val="2"/>
        </w:numPr>
        <w:bidi w:val="0"/>
        <w:jc w:val="both"/>
        <w:rPr>
          <w:rFonts w:ascii="Times New Roman" w:hAnsi="Times New Roman" w:cs="Times New Roman"/>
          <w:sz w:val="24"/>
          <w:szCs w:val="24"/>
        </w:rPr>
      </w:pPr>
      <w:r>
        <w:rPr>
          <w:rFonts w:cs="Times New Roman" w:ascii="Times New Roman" w:hAnsi="Times New Roman"/>
          <w:sz w:val="24"/>
          <w:szCs w:val="24"/>
        </w:rPr>
        <w:t xml:space="preserve">Cash flow analysis   </w:t>
      </w:r>
    </w:p>
    <w:p>
      <w:pPr>
        <w:pStyle w:val="ListParagraph"/>
        <w:numPr>
          <w:ilvl w:val="0"/>
          <w:numId w:val="0"/>
        </w:numPr>
        <w:bidi w:val="0"/>
        <w:ind w:start="1020" w:hanging="0"/>
        <w:jc w:val="both"/>
        <w:rPr>
          <w:rFonts w:ascii="Times New Roman" w:hAnsi="Times New Roman" w:cs="Times New Roman"/>
          <w:sz w:val="24"/>
          <w:szCs w:val="24"/>
        </w:rPr>
      </w:pPr>
      <w:r>
        <w:rPr>
          <w:rFonts w:cs="Times New Roman" w:ascii="Times New Roman" w:hAnsi="Times New Roman"/>
          <w:sz w:val="24"/>
          <w:szCs w:val="24"/>
        </w:rPr>
        <w:t>-The cash flow statement is the financial statement that reports the company’s resources and use of cash over time, in our case the cash flow analysis helps project managers to respond to unexpected technical difficulties and changes as it provides immediate visibility into the financial impact of unexpected technical difficulties and changes in project scope</w:t>
      </w:r>
    </w:p>
    <w:p>
      <w:pPr>
        <w:pStyle w:val="ListParagraph"/>
        <w:numPr>
          <w:ilvl w:val="0"/>
          <w:numId w:val="0"/>
        </w:numPr>
        <w:bidi w:val="0"/>
        <w:ind w:start="102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bidi w:val="0"/>
        <w:jc w:val="both"/>
        <w:rPr>
          <w:rFonts w:ascii="Times New Roman" w:hAnsi="Times New Roman" w:cs="Times New Roman"/>
          <w:sz w:val="24"/>
          <w:szCs w:val="24"/>
        </w:rPr>
      </w:pPr>
      <w:r>
        <w:rPr>
          <w:rFonts w:cs="Times New Roman" w:ascii="Times New Roman" w:hAnsi="Times New Roman"/>
          <w:sz w:val="24"/>
          <w:szCs w:val="24"/>
        </w:rPr>
        <w:t xml:space="preserve">Reserves allocation </w:t>
      </w:r>
    </w:p>
    <w:p>
      <w:pPr>
        <w:pStyle w:val="ListParagraph"/>
        <w:numPr>
          <w:ilvl w:val="0"/>
          <w:numId w:val="0"/>
        </w:numPr>
        <w:bidi w:val="0"/>
        <w:ind w:start="1020" w:hanging="0"/>
        <w:jc w:val="both"/>
        <w:rPr>
          <w:rFonts w:ascii="Times New Roman" w:hAnsi="Times New Roman" w:cs="Times New Roman"/>
          <w:sz w:val="24"/>
          <w:szCs w:val="24"/>
        </w:rPr>
      </w:pPr>
      <w:r>
        <w:rPr>
          <w:rFonts w:cs="Times New Roman" w:ascii="Times New Roman" w:hAnsi="Times New Roman"/>
          <w:sz w:val="24"/>
          <w:szCs w:val="24"/>
        </w:rPr>
        <w:t xml:space="preserve">-Reserves are resources allocated to mitigate the risks that a project will be associated with in the project timeline, for our case the management reserves could be helpful for unpredictable future situations like the unexpected technical difficulties </w:t>
      </w:r>
    </w:p>
    <w:p>
      <w:pPr>
        <w:pStyle w:val="ListParagraph"/>
        <w:numPr>
          <w:ilvl w:val="0"/>
          <w:numId w:val="0"/>
        </w:numPr>
        <w:bidi w:val="0"/>
        <w:ind w:start="102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bidi w:val="0"/>
        <w:jc w:val="both"/>
        <w:rPr>
          <w:rFonts w:ascii="Times New Roman" w:hAnsi="Times New Roman" w:cs="Times New Roman"/>
          <w:sz w:val="24"/>
          <w:szCs w:val="24"/>
        </w:rPr>
      </w:pPr>
      <w:r>
        <w:rPr>
          <w:rFonts w:cs="Times New Roman" w:ascii="Times New Roman" w:hAnsi="Times New Roman"/>
          <w:sz w:val="24"/>
          <w:szCs w:val="24"/>
        </w:rPr>
        <w:t>Life cycle costing</w:t>
      </w:r>
    </w:p>
    <w:p>
      <w:pPr>
        <w:pStyle w:val="ListParagraph"/>
        <w:numPr>
          <w:ilvl w:val="0"/>
          <w:numId w:val="0"/>
        </w:numPr>
        <w:bidi w:val="0"/>
        <w:ind w:start="1020" w:hanging="0"/>
        <w:jc w:val="both"/>
        <w:rPr>
          <w:rFonts w:ascii="Times New Roman" w:hAnsi="Times New Roman" w:cs="Times New Roman"/>
          <w:sz w:val="24"/>
          <w:szCs w:val="24"/>
        </w:rPr>
      </w:pPr>
      <w:r>
        <w:rPr>
          <w:rFonts w:cs="Times New Roman" w:ascii="Times New Roman" w:hAnsi="Times New Roman"/>
          <w:sz w:val="24"/>
          <w:szCs w:val="24"/>
        </w:rPr>
        <w:t>-Life cycle costing helps project managers to consider the total cost of the project and consideration of the support cost that could be helpful when uncertainties occurs during the project timeline, in our case the support cost allocated could help to deal with unexpected  technical difficulties and changes in project scope</w:t>
      </w:r>
    </w:p>
    <w:p>
      <w:pPr>
        <w:pStyle w:val="ListParagraph"/>
        <w:numPr>
          <w:ilvl w:val="0"/>
          <w:numId w:val="0"/>
        </w:numPr>
        <w:bidi w:val="0"/>
        <w:ind w:start="1020" w:hanging="0"/>
        <w:jc w:val="both"/>
        <w:rPr>
          <w:rFonts w:ascii="Times New Roman" w:hAnsi="Times New Roman" w:cs="Times New Roman"/>
          <w:sz w:val="24"/>
          <w:szCs w:val="24"/>
        </w:rPr>
      </w:pPr>
      <w:r>
        <w:rPr/>
      </w:r>
    </w:p>
    <w:p>
      <w:pPr>
        <w:pStyle w:val="ListParagraph"/>
        <w:numPr>
          <w:ilvl w:val="0"/>
          <w:numId w:val="6"/>
        </w:numPr>
        <w:bidi w:val="0"/>
        <w:ind w:start="1020" w:hanging="0"/>
        <w:jc w:val="both"/>
        <w:rPr/>
      </w:pPr>
      <w:r>
        <w:rPr/>
        <w:t>Stakeholders engagement and communication</w:t>
      </w:r>
    </w:p>
    <w:p>
      <w:pPr>
        <w:pStyle w:val="ListParagraph"/>
        <w:numPr>
          <w:ilvl w:val="0"/>
          <w:numId w:val="0"/>
        </w:numPr>
        <w:bidi w:val="0"/>
        <w:ind w:start="1020" w:hanging="0"/>
        <w:jc w:val="both"/>
        <w:rPr/>
      </w:pPr>
      <w:r>
        <w:rPr/>
        <w:t>Effective communication and engagement with stakeholders are fundamental to project success. Regular communication helps manage expectations, gather feedback, and address concerns promptly. In the case of unexpected technical challenges or changes in project scope, transparent and open communication ensures that stakeholders are informed, and their support is enlisted. Engaging stakeholders throughout the project lifecycle fosters a collaborative environment, making it easier to navigate unforeseen obstacles with their input and support.</w:t>
      </w:r>
    </w:p>
    <w:p>
      <w:pPr>
        <w:pStyle w:val="ListParagraph"/>
        <w:numPr>
          <w:ilvl w:val="0"/>
          <w:numId w:val="0"/>
        </w:numPr>
        <w:bidi w:val="0"/>
        <w:ind w:start="102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bidi w:val="0"/>
        <w:ind w:start="720" w:hanging="0"/>
        <w:jc w:val="both"/>
        <w:rPr>
          <w:rFonts w:ascii="Times New Roman" w:hAnsi="Times New Roman" w:cs="Times New Roman"/>
          <w:sz w:val="24"/>
          <w:szCs w:val="24"/>
        </w:rPr>
      </w:pPr>
      <w:r>
        <w:rPr>
          <w:rFonts w:cs="Times New Roman" w:ascii="Times New Roman" w:hAnsi="Times New Roman"/>
          <w:sz w:val="24"/>
          <w:szCs w:val="24"/>
        </w:rPr>
        <w:t>B. Specific strategies and tools that can be employed to re-evaluate the project budget and manage the cost variance</w:t>
      </w:r>
    </w:p>
    <w:p>
      <w:pPr>
        <w:pStyle w:val="ListParagraph"/>
        <w:bidi w:val="0"/>
        <w:ind w:start="72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bidi w:val="0"/>
        <w:ind w:start="720" w:hanging="0"/>
        <w:jc w:val="both"/>
        <w:rPr>
          <w:rFonts w:ascii="Times New Roman" w:hAnsi="Times New Roman" w:cs="Times New Roman"/>
          <w:sz w:val="24"/>
          <w:szCs w:val="24"/>
        </w:rPr>
      </w:pPr>
      <w:r>
        <w:rPr>
          <w:rFonts w:cs="Times New Roman" w:ascii="Times New Roman" w:hAnsi="Times New Roman"/>
          <w:b/>
          <w:bCs/>
          <w:sz w:val="24"/>
          <w:szCs w:val="24"/>
        </w:rPr>
        <w:t>Specific strategies</w:t>
      </w:r>
    </w:p>
    <w:p>
      <w:pPr>
        <w:pStyle w:val="ListParagraph"/>
        <w:numPr>
          <w:ilvl w:val="0"/>
          <w:numId w:val="3"/>
        </w:numPr>
        <w:bidi w:val="0"/>
        <w:jc w:val="both"/>
        <w:rPr>
          <w:rFonts w:ascii="Times New Roman" w:hAnsi="Times New Roman" w:cs="Times New Roman"/>
          <w:sz w:val="24"/>
          <w:szCs w:val="24"/>
        </w:rPr>
      </w:pPr>
      <w:r>
        <w:rPr>
          <w:rFonts w:cs="Times New Roman" w:ascii="Times New Roman" w:hAnsi="Times New Roman"/>
          <w:sz w:val="24"/>
          <w:szCs w:val="24"/>
        </w:rPr>
        <w:t xml:space="preserve">Bottom-up Re-estimation: </w:t>
      </w:r>
    </w:p>
    <w:p>
      <w:pPr>
        <w:pStyle w:val="ListParagraph"/>
        <w:numPr>
          <w:ilvl w:val="0"/>
          <w:numId w:val="0"/>
        </w:numPr>
        <w:bidi w:val="0"/>
        <w:ind w:start="0"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Use a bottom-up approach to revise cost estimates for remaining tasks, considering actual costs             incurred so far and updated technical understanding. This allows for a more detailed analysis, taking into account actual costs incurred so far and incorporating any new technical insights.</w:t>
      </w:r>
    </w:p>
    <w:p>
      <w:pPr>
        <w:pStyle w:val="ListParagraph"/>
        <w:numPr>
          <w:ilvl w:val="0"/>
          <w:numId w:val="0"/>
        </w:numPr>
        <w:bidi w:val="0"/>
        <w:ind w:star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bidi w:val="0"/>
        <w:jc w:val="both"/>
        <w:rPr>
          <w:rFonts w:ascii="Times New Roman" w:hAnsi="Times New Roman" w:cs="Times New Roman"/>
          <w:sz w:val="24"/>
          <w:szCs w:val="24"/>
        </w:rPr>
      </w:pPr>
      <w:r>
        <w:rPr>
          <w:rFonts w:cs="Times New Roman" w:ascii="Times New Roman" w:hAnsi="Times New Roman"/>
          <w:sz w:val="24"/>
          <w:szCs w:val="24"/>
        </w:rPr>
        <w:t>Scenario Planning: Develop different cost scenarios based on varying levels of scope reduction, cost optimization, and risk mitigation success. This helps in preparing for potential changes in project conditions and understanding the impact on the budget.</w:t>
      </w:r>
    </w:p>
    <w:p>
      <w:pPr>
        <w:pStyle w:val="ListParagraph"/>
        <w:bidi w:val="0"/>
        <w:ind w:start="72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bidi w:val="0"/>
        <w:jc w:val="both"/>
        <w:rPr>
          <w:rFonts w:ascii="Times New Roman" w:hAnsi="Times New Roman" w:cs="Times New Roman"/>
          <w:sz w:val="24"/>
          <w:szCs w:val="24"/>
        </w:rPr>
      </w:pPr>
      <w:r>
        <w:rPr>
          <w:rFonts w:cs="Times New Roman" w:ascii="Times New Roman" w:hAnsi="Times New Roman"/>
          <w:sz w:val="24"/>
          <w:szCs w:val="24"/>
        </w:rPr>
        <w:t>Value Engineering: Analyze project deliverables and identify opportunities to reduce costs while maintaining value. This involves assessing whether features can be simplified or replaced with more cost-effective alternatives.</w:t>
      </w:r>
    </w:p>
    <w:p>
      <w:pPr>
        <w:pStyle w:val="ListParagraph"/>
        <w:bidi w:val="0"/>
        <w:ind w:start="72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bidi w:val="0"/>
        <w:ind w:start="720" w:hanging="0"/>
        <w:jc w:val="both"/>
        <w:rPr>
          <w:rFonts w:ascii="Times New Roman" w:hAnsi="Times New Roman" w:cs="Times New Roman"/>
          <w:sz w:val="24"/>
          <w:szCs w:val="24"/>
        </w:rPr>
      </w:pPr>
      <w:r>
        <w:rPr>
          <w:b/>
          <w:bCs/>
        </w:rPr>
        <w:t>Tools and techniques</w:t>
      </w:r>
    </w:p>
    <w:p>
      <w:pPr>
        <w:pStyle w:val="ListParagraph"/>
        <w:numPr>
          <w:ilvl w:val="0"/>
          <w:numId w:val="5"/>
        </w:numPr>
        <w:bidi w:val="0"/>
        <w:ind w:start="720" w:hanging="0"/>
        <w:jc w:val="both"/>
        <w:rPr>
          <w:rFonts w:ascii="Times New Roman" w:hAnsi="Times New Roman" w:cs="Times New Roman"/>
          <w:sz w:val="24"/>
          <w:szCs w:val="24"/>
        </w:rPr>
      </w:pPr>
      <w:r>
        <w:rPr>
          <w:rFonts w:cs="Times New Roman" w:ascii="Times New Roman" w:hAnsi="Times New Roman"/>
          <w:sz w:val="24"/>
          <w:szCs w:val="24"/>
        </w:rPr>
        <w:t>Earned Value Management (EVM): Implement earned value management to measure project performance based on earned value, budget at completion (BAC), and cost variance. This provides a quantitative way to understand cost performance and forecast future trends</w:t>
      </w:r>
    </w:p>
    <w:p>
      <w:pPr>
        <w:pStyle w:val="ListParagraph"/>
        <w:numPr>
          <w:ilvl w:val="0"/>
          <w:numId w:val="0"/>
        </w:numPr>
        <w:bidi w:val="0"/>
        <w:ind w:star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4"/>
        </w:numPr>
        <w:bidi w:val="0"/>
        <w:ind w:start="720" w:hanging="0"/>
        <w:jc w:val="both"/>
        <w:rPr>
          <w:rFonts w:ascii="Times New Roman" w:hAnsi="Times New Roman" w:cs="Times New Roman"/>
          <w:sz w:val="24"/>
          <w:szCs w:val="24"/>
        </w:rPr>
      </w:pPr>
      <w:r>
        <w:rPr/>
        <w:t>Project management software: The project management software will help to track costs, update budgets, analyze variances and visualize cost trends</w:t>
      </w:r>
      <w:r>
        <w:rPr>
          <w:rFonts w:cs="Times New Roman" w:ascii="Times New Roman" w:hAnsi="Times New Roman"/>
          <w:sz w:val="24"/>
          <w:szCs w:val="24"/>
        </w:rPr>
        <w:t>. These tools often provide real-time data, collaboration features, and reporting capabilities, helping project managers make informed decisions.</w:t>
      </w:r>
    </w:p>
    <w:p>
      <w:pPr>
        <w:pStyle w:val="ListParagraph"/>
        <w:numPr>
          <w:ilvl w:val="0"/>
          <w:numId w:val="0"/>
        </w:numPr>
        <w:bidi w:val="0"/>
        <w:ind w:star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4"/>
        </w:numPr>
        <w:bidi w:val="0"/>
        <w:ind w:start="720" w:hanging="0"/>
        <w:jc w:val="both"/>
        <w:rPr>
          <w:rFonts w:ascii="Times New Roman" w:hAnsi="Times New Roman" w:cs="Times New Roman"/>
          <w:sz w:val="24"/>
          <w:szCs w:val="24"/>
        </w:rPr>
      </w:pPr>
      <w:r>
        <w:rPr/>
        <w:t>Risk management tools: The risk management tools will help to track, analyze and prioritize risks and help to come up with strategies for the risk mitigation and cost control</w:t>
      </w:r>
      <w:r>
        <w:rPr>
          <w:rFonts w:cs="Times New Roman" w:ascii="Times New Roman" w:hAnsi="Times New Roman"/>
          <w:sz w:val="24"/>
          <w:szCs w:val="24"/>
        </w:rPr>
        <w:t>. This proactive approach helps in avoiding or minimizing the impact of risks on the project budget.</w:t>
      </w:r>
    </w:p>
    <w:p>
      <w:pPr>
        <w:pStyle w:val="ListParagraph"/>
        <w:bidi w:val="0"/>
        <w:ind w:start="72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bidi w:val="0"/>
        <w:spacing w:lineRule="auto" w:line="360"/>
        <w:ind w:start="72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bidi w:val="0"/>
        <w:spacing w:lineRule="auto" w:line="276"/>
        <w:ind w:start="720" w:hanging="0"/>
        <w:jc w:val="start"/>
        <w:rPr>
          <w:rFonts w:ascii="Times New Roman" w:hAnsi="Times New Roman" w:cs="Times New Roman"/>
          <w:sz w:val="24"/>
          <w:szCs w:val="24"/>
        </w:rPr>
      </w:pPr>
      <w:r>
        <w:rPr>
          <w:rFonts w:cs="Times New Roman" w:ascii="Times New Roman" w:hAnsi="Times New Roman"/>
          <w:sz w:val="24"/>
          <w:szCs w:val="24"/>
        </w:rPr>
        <w:t>REFERENCES</w:t>
      </w:r>
    </w:p>
    <w:p>
      <w:pPr>
        <w:pStyle w:val="ListParagraph"/>
        <w:bidi w:val="0"/>
        <w:spacing w:lineRule="auto" w:line="276"/>
        <w:ind w:start="720" w:hanging="0"/>
        <w:jc w:val="start"/>
        <w:rPr>
          <w:rFonts w:ascii="Times New Roman" w:hAnsi="Times New Roman" w:cs="Times New Roman"/>
          <w:sz w:val="24"/>
          <w:szCs w:val="24"/>
        </w:rPr>
      </w:pPr>
      <w:r>
        <w:rPr>
          <w:rFonts w:cs="Times New Roman" w:ascii="Times New Roman" w:hAnsi="Times New Roman"/>
          <w:sz w:val="24"/>
          <w:szCs w:val="24"/>
        </w:rPr>
        <w:t>1. Schwalbe, K. (2018). Information Technology Project Management (8th ed.). Cengage</w:t>
      </w:r>
    </w:p>
    <w:p>
      <w:pPr>
        <w:pStyle w:val="ListParagraph"/>
        <w:bidi w:val="0"/>
        <w:spacing w:lineRule="auto" w:line="276"/>
        <w:ind w:start="720" w:hanging="0"/>
        <w:jc w:val="start"/>
        <w:rPr>
          <w:rFonts w:ascii="Times New Roman" w:hAnsi="Times New Roman" w:cs="Times New Roman"/>
          <w:sz w:val="24"/>
          <w:szCs w:val="24"/>
        </w:rPr>
      </w:pPr>
      <w:r>
        <w:rPr>
          <w:rFonts w:cs="Times New Roman" w:ascii="Times New Roman" w:hAnsi="Times New Roman"/>
          <w:sz w:val="24"/>
          <w:szCs w:val="24"/>
        </w:rPr>
        <w:t>Learning.</w:t>
      </w:r>
    </w:p>
    <w:p>
      <w:pPr>
        <w:pStyle w:val="ListParagraph"/>
        <w:bidi w:val="0"/>
        <w:spacing w:lineRule="auto" w:line="276"/>
        <w:ind w:start="720" w:hanging="0"/>
        <w:jc w:val="start"/>
        <w:rPr>
          <w:rFonts w:ascii="Times New Roman" w:hAnsi="Times New Roman" w:cs="Times New Roman"/>
          <w:sz w:val="24"/>
          <w:szCs w:val="24"/>
        </w:rPr>
      </w:pPr>
      <w:r>
        <w:rPr>
          <w:rFonts w:cs="Times New Roman" w:ascii="Times New Roman" w:hAnsi="Times New Roman"/>
          <w:sz w:val="24"/>
          <w:szCs w:val="24"/>
        </w:rPr>
        <w:t>2</w:t>
      </w:r>
      <w:r>
        <w:rPr>
          <w:rFonts w:cs="Times New Roman" w:ascii="Times New Roman" w:hAnsi="Times New Roman"/>
          <w:sz w:val="24"/>
          <w:szCs w:val="24"/>
        </w:rPr>
        <w:t>. Weill, P., &amp; Ross, J. W. (2004). IT Governance: How Top Performers Manage IT Decision Rights for Superior Results. Harvard Business School Press.</w:t>
      </w:r>
    </w:p>
    <w:p>
      <w:pPr>
        <w:pStyle w:val="ListParagraph"/>
        <w:bidi w:val="0"/>
        <w:spacing w:lineRule="auto" w:line="276"/>
        <w:ind w:start="720" w:hanging="0"/>
        <w:jc w:val="start"/>
        <w:rPr>
          <w:rFonts w:ascii="Times New Roman" w:hAnsi="Times New Roman" w:cs="Times New Roman"/>
          <w:sz w:val="24"/>
          <w:szCs w:val="24"/>
        </w:rPr>
      </w:pPr>
      <w:r>
        <w:rPr>
          <w:rFonts w:cs="Times New Roman" w:ascii="Times New Roman" w:hAnsi="Times New Roman"/>
          <w:sz w:val="24"/>
          <w:szCs w:val="24"/>
        </w:rPr>
      </w:r>
    </w:p>
    <w:p>
      <w:pPr>
        <w:pStyle w:val="ListParagraph"/>
        <w:bidi w:val="0"/>
        <w:spacing w:lineRule="auto" w:line="276"/>
        <w:ind w:start="720" w:hanging="0"/>
        <w:jc w:val="start"/>
        <w:rPr>
          <w:rFonts w:ascii="Times New Roman" w:hAnsi="Times New Roman" w:cs="Times New Roman"/>
          <w:sz w:val="24"/>
          <w:szCs w:val="24"/>
        </w:rPr>
      </w:pPr>
      <w:r>
        <w:rPr>
          <w:rFonts w:cs="Times New Roman" w:ascii="Times New Roman" w:hAnsi="Times New Roman"/>
          <w:sz w:val="24"/>
          <w:szCs w:val="24"/>
        </w:rPr>
        <w:t>3</w:t>
      </w:r>
      <w:r>
        <w:rPr>
          <w:rFonts w:cs="Times New Roman" w:ascii="Times New Roman" w:hAnsi="Times New Roman"/>
          <w:sz w:val="24"/>
          <w:szCs w:val="24"/>
        </w:rPr>
        <w:t>. Project Management Institute. (2017). A Guide to the Project Management Body of</w:t>
      </w:r>
    </w:p>
    <w:p>
      <w:pPr>
        <w:pStyle w:val="ListParagraph"/>
        <w:bidi w:val="0"/>
        <w:spacing w:lineRule="auto" w:line="276"/>
        <w:ind w:start="720" w:hanging="0"/>
        <w:jc w:val="start"/>
        <w:rPr>
          <w:rFonts w:ascii="Times New Roman" w:hAnsi="Times New Roman" w:cs="Times New Roman"/>
          <w:sz w:val="24"/>
          <w:szCs w:val="24"/>
        </w:rPr>
      </w:pPr>
      <w:r>
        <w:rPr>
          <w:rFonts w:cs="Times New Roman" w:ascii="Times New Roman" w:hAnsi="Times New Roman"/>
          <w:sz w:val="24"/>
          <w:szCs w:val="24"/>
        </w:rPr>
        <w:t>Knowledge (PMBOK Guide</w:t>
      </w:r>
    </w:p>
    <w:p>
      <w:pPr>
        <w:pStyle w:val="ListParagraph"/>
        <w:numPr>
          <w:ilvl w:val="0"/>
          <w:numId w:val="0"/>
        </w:numPr>
        <w:bidi w:val="0"/>
        <w:ind w:star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bidi w:val="0"/>
        <w:ind w:star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bidi w:val="0"/>
        <w:ind w:start="72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bidi w:val="0"/>
        <w:ind w:start="72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bidi w:val="0"/>
        <w:spacing w:before="0" w:after="160"/>
        <w:ind w:start="720" w:hanging="0"/>
        <w:contextualSpacing/>
        <w:jc w:val="both"/>
        <w:rPr>
          <w:rFonts w:ascii="Times New Roman" w:hAnsi="Times New Roman" w:cs="Times New Roman"/>
          <w:sz w:val="24"/>
          <w:szCs w:val="24"/>
        </w:rPr>
      </w:pPr>
      <w:r>
        <w:rPr>
          <w:rFonts w:cs="Times New Roman" w:ascii="Times New Roman" w:hAnsi="Times New Roman"/>
          <w:sz w:val="24"/>
          <w:szCs w:val="24"/>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 w:name="Wingdings">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2">
    <w:lvl w:ilvl="0">
      <w:start w:val="1"/>
      <w:numFmt w:val="bullet"/>
      <w:lvlText w:val=""/>
      <w:lvlJc w:val="start"/>
      <w:pPr>
        <w:tabs>
          <w:tab w:val="num" w:pos="1020"/>
        </w:tabs>
        <w:ind w:start="1020" w:hanging="360"/>
      </w:pPr>
      <w:rPr>
        <w:rFonts w:ascii="Wingdings" w:hAnsi="Wingdings" w:cs="Wingdings" w:hint="default"/>
      </w:rPr>
    </w:lvl>
    <w:lvl w:ilvl="1">
      <w:start w:val="1"/>
      <w:numFmt w:val="bullet"/>
      <w:lvlText w:val="◦"/>
      <w:lvlJc w:val="start"/>
      <w:pPr>
        <w:tabs>
          <w:tab w:val="num" w:pos="1380"/>
        </w:tabs>
        <w:ind w:start="1380" w:hanging="360"/>
      </w:pPr>
      <w:rPr>
        <w:rFonts w:ascii="OpenSymbol" w:hAnsi="OpenSymbol" w:cs="OpenSymbol" w:hint="default"/>
      </w:rPr>
    </w:lvl>
    <w:lvl w:ilvl="2">
      <w:start w:val="1"/>
      <w:numFmt w:val="bullet"/>
      <w:lvlText w:val="▪"/>
      <w:lvlJc w:val="start"/>
      <w:pPr>
        <w:tabs>
          <w:tab w:val="num" w:pos="1740"/>
        </w:tabs>
        <w:ind w:start="1740" w:hanging="360"/>
      </w:pPr>
      <w:rPr>
        <w:rFonts w:ascii="OpenSymbol" w:hAnsi="OpenSymbol" w:cs="OpenSymbol" w:hint="default"/>
      </w:rPr>
    </w:lvl>
    <w:lvl w:ilvl="3">
      <w:start w:val="1"/>
      <w:numFmt w:val="bullet"/>
      <w:lvlText w:val=""/>
      <w:lvlJc w:val="start"/>
      <w:pPr>
        <w:tabs>
          <w:tab w:val="num" w:pos="2100"/>
        </w:tabs>
        <w:ind w:start="2100" w:hanging="360"/>
      </w:pPr>
      <w:rPr>
        <w:rFonts w:ascii="Symbol" w:hAnsi="Symbol" w:cs="Symbol" w:hint="default"/>
      </w:rPr>
    </w:lvl>
    <w:lvl w:ilvl="4">
      <w:start w:val="1"/>
      <w:numFmt w:val="bullet"/>
      <w:lvlText w:val="◦"/>
      <w:lvlJc w:val="start"/>
      <w:pPr>
        <w:tabs>
          <w:tab w:val="num" w:pos="2460"/>
        </w:tabs>
        <w:ind w:start="2460" w:hanging="360"/>
      </w:pPr>
      <w:rPr>
        <w:rFonts w:ascii="OpenSymbol" w:hAnsi="OpenSymbol" w:cs="OpenSymbol" w:hint="default"/>
      </w:rPr>
    </w:lvl>
    <w:lvl w:ilvl="5">
      <w:start w:val="1"/>
      <w:numFmt w:val="bullet"/>
      <w:lvlText w:val="▪"/>
      <w:lvlJc w:val="start"/>
      <w:pPr>
        <w:tabs>
          <w:tab w:val="num" w:pos="2820"/>
        </w:tabs>
        <w:ind w:start="2820" w:hanging="360"/>
      </w:pPr>
      <w:rPr>
        <w:rFonts w:ascii="OpenSymbol" w:hAnsi="OpenSymbol" w:cs="OpenSymbol" w:hint="default"/>
      </w:rPr>
    </w:lvl>
    <w:lvl w:ilvl="6">
      <w:start w:val="1"/>
      <w:numFmt w:val="bullet"/>
      <w:lvlText w:val=""/>
      <w:lvlJc w:val="start"/>
      <w:pPr>
        <w:tabs>
          <w:tab w:val="num" w:pos="3180"/>
        </w:tabs>
        <w:ind w:start="3180" w:hanging="360"/>
      </w:pPr>
      <w:rPr>
        <w:rFonts w:ascii="Symbol" w:hAnsi="Symbol" w:cs="Symbol" w:hint="default"/>
      </w:rPr>
    </w:lvl>
    <w:lvl w:ilvl="7">
      <w:start w:val="1"/>
      <w:numFmt w:val="bullet"/>
      <w:lvlText w:val="◦"/>
      <w:lvlJc w:val="start"/>
      <w:pPr>
        <w:tabs>
          <w:tab w:val="num" w:pos="3540"/>
        </w:tabs>
        <w:ind w:start="3540" w:hanging="360"/>
      </w:pPr>
      <w:rPr>
        <w:rFonts w:ascii="OpenSymbol" w:hAnsi="OpenSymbol" w:cs="OpenSymbol" w:hint="default"/>
      </w:rPr>
    </w:lvl>
    <w:lvl w:ilvl="8">
      <w:start w:val="1"/>
      <w:numFmt w:val="bullet"/>
      <w:lvlText w:val="▪"/>
      <w:lvlJc w:val="start"/>
      <w:pPr>
        <w:tabs>
          <w:tab w:val="num" w:pos="3900"/>
        </w:tabs>
        <w:ind w:start="39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4">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5">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6">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ans" w:cs="FreeSans"/>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b w:val="false"/>
      <w:bCs w:val="false"/>
    </w:rPr>
  </w:style>
  <w:style w:type="character" w:styleId="Emphasis">
    <w:name w:val="Emphasis"/>
    <w:qFormat/>
    <w:rPr>
      <w:i/>
      <w:iCs/>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160"/>
      <w:ind w:star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275</TotalTime>
  <Application>LibreOffice/7.5.8.2$Linux_X86_64 LibreOffice_project/50$Build-2</Application>
  <AppVersion>15.0000</AppVersion>
  <Pages>2</Pages>
  <Words>645</Words>
  <Characters>3761</Characters>
  <CharactersWithSpaces>4385</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2024-01-23T16:52:54Z</dcterms:created>
  <dc:creator/>
  <dc:description/>
  <dc:language>en-US</dc:language>
  <cp:lastModifiedBy/>
  <dcterms:modified xsi:type="dcterms:W3CDTF">2024-01-25T18:44:54Z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