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4"/>
        </w:rPr>
        <w:t>Modern Difference-in-Differences Event-Study Pipeline</w:t>
      </w:r>
    </w:p>
    <w:p/>
    <w:p>
      <w:pPr>
        <w:jc w:val="center"/>
      </w:pPr>
      <w:r>
        <w:rPr>
          <w:i/>
          <w:color w:val="555555"/>
          <w:sz w:val="26"/>
        </w:rPr>
        <w:t>Documentation of Methods, Setup, and Implementation</w:t>
      </w:r>
    </w:p>
    <w:p/>
    <w:p>
      <w:pPr>
        <w:jc w:val="center"/>
      </w:pPr>
      <w:r>
        <w:rPr>
          <w:color w:val="222222"/>
          <w:sz w:val="22"/>
        </w:rPr>
        <w:t>Outcomes: lnva_L  ·  lsize  ·  edu_h  ·  exp_sales  ·  imp_sales</w:t>
        <w:br/>
        <w:t>Window: t = −4 to +9  ·  Reference: t = −1</w:t>
      </w:r>
    </w:p>
    <w:p>
      <w:pPr>
        <w:pBdr>
          <w:bottom w:val="single" w:sz="6" w:space="1" w:color="1F3A5F"/>
        </w:pBdr>
        <w:spacing w:after="120" w:before="120"/>
      </w:pPr>
    </w:p>
    <w:p>
      <w:pPr>
        <w:pStyle w:val="Heading1"/>
        <w:spacing w:before="360" w:after="120"/>
      </w:pPr>
      <w:r>
        <w:rPr>
          <w:b/>
          <w:color w:val="1F3A5F"/>
          <w:sz w:val="36"/>
        </w:rPr>
        <w:t>1. Overview</w:t>
      </w:r>
    </w:p>
    <w:p>
      <w:pPr>
        <w:spacing w:after="100" w:before="0"/>
      </w:pPr>
      <w:r>
        <w:rPr>
          <w:i w:val="0"/>
          <w:color w:val="222222"/>
          <w:sz w:val="21"/>
        </w:rPr>
        <w:t>This pipeline estimates the causal effect of foreign acquisitions on Swedish firms using modern difference-in-differences (DID) methods. The dataset is a propensity-score-matched (PSM) sample of treated (acquired) and control (never acquired) firms observed over multiple calendar years. Five outcome variables are studied: log value added per worker (lnva_L), firm size (lsize), share of high-educated workers (edu_h), export sales (exp_sales), and import sales (imp_sales).</w:t>
      </w:r>
    </w:p>
    <w:p>
      <w:pPr>
        <w:spacing w:after="100" w:before="0"/>
      </w:pPr>
      <w:r>
        <w:rPr>
          <w:i w:val="0"/>
          <w:color w:val="222222"/>
          <w:sz w:val="21"/>
        </w:rPr>
        <w:t>The pipeline addresses a key challenge in the modern DID literature: when treatment is staggered across cohorts (different firms are acquired in different years), the classical two-way fixed-effects (TWFE) estimator can be biased because it uses already-treated units as implicit controls. Four complementary estimators are run to check robustness: TWFE, Sun-Abraham, Callaway-Sant'Anna, and Borusyak-Jaravel-Spiess. HonestDiD sensitivity analysis is added to assess how large a violation of parallel trends would be needed to overturn the results.</w:t>
      </w:r>
    </w:p>
    <w:p>
      <w:pPr>
        <w:pStyle w:val="Heading1"/>
        <w:spacing w:before="360" w:after="120"/>
      </w:pPr>
      <w:r>
        <w:rPr>
          <w:b/>
          <w:color w:val="1F3A5F"/>
          <w:sz w:val="36"/>
        </w:rPr>
        <w:t>2. Data Setup and Key Variables</w:t>
      </w:r>
    </w:p>
    <w:p>
      <w:pPr>
        <w:pStyle w:val="Heading2"/>
        <w:spacing w:before="240" w:after="80"/>
      </w:pPr>
      <w:r>
        <w:rPr>
          <w:b/>
          <w:color w:val="1F3A5F"/>
          <w:sz w:val="26"/>
        </w:rPr>
        <w:t>2.1  Source Data</w:t>
      </w:r>
    </w:p>
    <w:p>
      <w:pPr>
        <w:spacing w:after="100" w:before="0"/>
      </w:pPr>
      <w:r>
        <w:rPr>
          <w:i w:val="0"/>
          <w:color w:val="222222"/>
          <w:sz w:val="21"/>
        </w:rPr>
        <w:t>The starting point is the file PSM_matched_T_C_firms_all_years_auto_country_info_trade_reg_data.dta. This is the output of a prior propensity-score matching step that pairs each acquired firm with one or more never-acquired firms that were similar in observable characteristics before the acquisition.</w:t>
      </w:r>
    </w:p>
    <w:p>
      <w:pPr>
        <w:pStyle w:val="Heading2"/>
        <w:spacing w:before="240" w:after="80"/>
      </w:pPr>
      <w:r>
        <w:rPr>
          <w:b/>
          <w:color w:val="1F3A5F"/>
          <w:sz w:val="26"/>
        </w:rPr>
        <w:t>2.2  Variables Constructed in the Pipeline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456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561"/>
            <w:shd w:val="clear" w:color="auto" w:fill="EEF2F7"/>
          </w:tcPr>
          <w:p>
            <w:r>
              <w:rPr>
                <w:rFonts w:ascii="Courier New" w:hAnsi="Courier New"/>
                <w:sz w:val="19"/>
              </w:rPr>
              <w:t>id</w:t>
            </w:r>
          </w:p>
        </w:tc>
        <w:tc>
          <w:tcPr>
            <w:tcW w:type="dxa" w:w="4561"/>
          </w:tcPr>
          <w:p>
            <w:r>
              <w:t>Firm identifier (renamed from firm)</w:t>
            </w:r>
          </w:p>
        </w:tc>
      </w:tr>
      <w:tr>
        <w:tc>
          <w:tcPr>
            <w:tcW w:type="dxa" w:w="4561"/>
            <w:shd w:val="clear" w:color="auto" w:fill="EEF2F7"/>
          </w:tcPr>
          <w:p>
            <w:r>
              <w:rPr>
                <w:rFonts w:ascii="Courier New" w:hAnsi="Courier New"/>
                <w:sz w:val="19"/>
              </w:rPr>
              <w:t>t</w:t>
            </w:r>
          </w:p>
        </w:tc>
        <w:tc>
          <w:tcPr>
            <w:tcW w:type="dxa" w:w="4561"/>
          </w:tcPr>
          <w:p>
            <w:r>
              <w:t>Calendar year (renamed from yr)</w:t>
            </w:r>
          </w:p>
        </w:tc>
      </w:tr>
      <w:tr>
        <w:tc>
          <w:tcPr>
            <w:tcW w:type="dxa" w:w="4561"/>
            <w:shd w:val="clear" w:color="auto" w:fill="EEF2F7"/>
          </w:tcPr>
          <w:p>
            <w:r>
              <w:rPr>
                <w:rFonts w:ascii="Courier New" w:hAnsi="Courier New"/>
                <w:sz w:val="19"/>
              </w:rPr>
              <w:t>treated_firm</w:t>
            </w:r>
          </w:p>
        </w:tc>
        <w:tc>
          <w:tcPr>
            <w:tcW w:type="dxa" w:w="4561"/>
          </w:tcPr>
          <w:p>
            <w:r>
              <w:t>1 if the firm is ever acquired during the sample; 0 for controls. Time-invariant: computed as max(treatment) within firm.</w:t>
            </w:r>
          </w:p>
        </w:tc>
      </w:tr>
      <w:tr>
        <w:tc>
          <w:tcPr>
            <w:tcW w:type="dxa" w:w="4561"/>
            <w:shd w:val="clear" w:color="auto" w:fill="EEF2F7"/>
          </w:tcPr>
          <w:p>
            <w:r>
              <w:rPr>
                <w:rFonts w:ascii="Courier New" w:hAnsi="Courier New"/>
                <w:sz w:val="19"/>
              </w:rPr>
              <w:t>G</w:t>
            </w:r>
          </w:p>
        </w:tc>
        <w:tc>
          <w:tcPr>
            <w:tcW w:type="dxa" w:w="4561"/>
          </w:tcPr>
          <w:p>
            <w:r>
              <w:t>Cohort year = the calendar year in which year_st_firm == 0 for treated firms. Missing for controls (never-treated).</w:t>
            </w:r>
          </w:p>
        </w:tc>
      </w:tr>
      <w:tr>
        <w:tc>
          <w:tcPr>
            <w:tcW w:type="dxa" w:w="4561"/>
            <w:shd w:val="clear" w:color="auto" w:fill="EEF2F7"/>
          </w:tcPr>
          <w:p>
            <w:r>
              <w:rPr>
                <w:rFonts w:ascii="Courier New" w:hAnsi="Courier New"/>
                <w:sz w:val="19"/>
              </w:rPr>
              <w:t>reltime</w:t>
            </w:r>
          </w:p>
        </w:tc>
        <w:tc>
          <w:tcPr>
            <w:tcW w:type="dxa" w:w="4561"/>
          </w:tcPr>
          <w:p>
            <w:r>
              <w:t>Event time = t − G for treated firms; missing for controls. Ranges from −4 to +9 in the analysis window.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1F3A5F"/>
          <w:sz w:val="26"/>
        </w:rPr>
        <w:t>2.3  Sample Restrictions</w:t>
      </w:r>
    </w:p>
    <w:p>
      <w:pPr>
        <w:spacing w:after="100" w:before="0"/>
      </w:pPr>
      <w:r>
        <w:rPr>
          <w:i w:val="0"/>
          <w:color w:val="222222"/>
          <w:sz w:val="21"/>
        </w:rPr>
        <w:t>Each outcome uses a dedicated sample flag (control_sample, control_sample_lsize, etc.) defined in the data-creation step. All estimations additionally restrict to observations within the event-study window (sample_4_9 == 1) and to calendar years up to 2019.</w:t>
      </w:r>
    </w:p>
    <w:p>
      <w:pPr>
        <w:pStyle w:val="Heading2"/>
        <w:spacing w:before="240" w:after="80"/>
      </w:pPr>
      <w:r>
        <w:rPr>
          <w:b/>
          <w:color w:val="1F3A5F"/>
          <w:sz w:val="26"/>
        </w:rPr>
        <w:t>2.4  Sanity Checks</w:t>
      </w:r>
    </w:p>
    <w:p>
      <w:pPr>
        <w:spacing w:after="100" w:before="0"/>
      </w:pPr>
      <w:r>
        <w:rPr>
          <w:i w:val="0"/>
          <w:color w:val="222222"/>
          <w:sz w:val="21"/>
        </w:rPr>
        <w:t>Before estimation a series of seven data-quality checks are run and per-firm pass/fail flags are created:</w:t>
      </w:r>
    </w:p>
    <w:p>
      <w:pPr>
        <w:pStyle w:val="ListBullet"/>
        <w:spacing w:after="60"/>
        <w:ind w:left="360"/>
      </w:pPr>
      <w:r>
        <w:rPr>
          <w:b/>
          <w:color w:val="222222"/>
          <w:sz w:val="21"/>
        </w:rPr>
        <w:t>1. Unique id-t</w:t>
      </w:r>
      <w:r>
        <w:rPr>
          <w:color w:val="222222"/>
          <w:sz w:val="21"/>
        </w:rPr>
        <w:t xml:space="preserve"> No duplicate firm-year observations.</w:t>
      </w:r>
    </w:p>
    <w:p>
      <w:pPr>
        <w:pStyle w:val="ListBullet"/>
        <w:spacing w:after="60"/>
        <w:ind w:left="360"/>
      </w:pPr>
      <w:r>
        <w:rPr>
          <w:b/>
          <w:color w:val="222222"/>
          <w:sz w:val="21"/>
        </w:rPr>
        <w:t>2. Treatment coding</w:t>
      </w:r>
      <w:r>
        <w:rPr>
          <w:color w:val="222222"/>
          <w:sz w:val="21"/>
        </w:rPr>
        <w:t xml:space="preserve"> treatment ∈ {0, 1} and non-missing for all observations.</w:t>
      </w:r>
    </w:p>
    <w:p>
      <w:pPr>
        <w:pStyle w:val="ListBullet"/>
        <w:spacing w:after="60"/>
        <w:ind w:left="360"/>
      </w:pPr>
      <w:r>
        <w:rPr>
          <w:b/>
          <w:color w:val="222222"/>
          <w:sz w:val="21"/>
        </w:rPr>
        <w:t>3. Controls never treated</w:t>
      </w:r>
      <w:r>
        <w:rPr>
          <w:color w:val="222222"/>
          <w:sz w:val="21"/>
        </w:rPr>
        <w:t xml:space="preserve"> Control firms have G and reltime missing throughout.</w:t>
      </w:r>
    </w:p>
    <w:p>
      <w:pPr>
        <w:pStyle w:val="ListBullet"/>
        <w:spacing w:after="60"/>
        <w:ind w:left="360"/>
      </w:pPr>
      <w:r>
        <w:rPr>
          <w:b/>
          <w:color w:val="222222"/>
          <w:sz w:val="21"/>
        </w:rPr>
        <w:t>4. One event year</w:t>
      </w:r>
      <w:r>
        <w:rPr>
          <w:color w:val="222222"/>
          <w:sz w:val="21"/>
        </w:rPr>
        <w:t xml:space="preserve"> Each treated firm has exactly one row where year_st_firm = 0.</w:t>
      </w:r>
    </w:p>
    <w:p>
      <w:pPr>
        <w:pStyle w:val="ListBullet"/>
        <w:spacing w:after="60"/>
        <w:ind w:left="360"/>
      </w:pPr>
      <w:r>
        <w:rPr>
          <w:b/>
          <w:color w:val="222222"/>
          <w:sz w:val="21"/>
        </w:rPr>
        <w:t>5. Unique cohort G</w:t>
      </w:r>
      <w:r>
        <w:rPr>
          <w:color w:val="222222"/>
          <w:sz w:val="21"/>
        </w:rPr>
        <w:t xml:space="preserve"> Each treated firm has a single, consistent G value.</w:t>
      </w:r>
    </w:p>
    <w:p>
      <w:pPr>
        <w:pStyle w:val="ListBullet"/>
        <w:spacing w:after="60"/>
        <w:ind w:left="360"/>
      </w:pPr>
      <w:r>
        <w:rPr>
          <w:b/>
          <w:color w:val="222222"/>
          <w:sz w:val="21"/>
        </w:rPr>
        <w:t>6. year_st_firm consistency</w:t>
      </w:r>
      <w:r>
        <w:rPr>
          <w:color w:val="222222"/>
          <w:sz w:val="21"/>
        </w:rPr>
        <w:t xml:space="preserve"> year_st_firm = t − G for all treated observations.</w:t>
      </w:r>
    </w:p>
    <w:p>
      <w:pPr>
        <w:pStyle w:val="ListBullet"/>
        <w:spacing w:after="60"/>
        <w:ind w:left="360"/>
      </w:pPr>
      <w:r>
        <w:rPr>
          <w:b/>
          <w:color w:val="222222"/>
          <w:sz w:val="21"/>
        </w:rPr>
        <w:t>7. Swedish ownership</w:t>
      </w:r>
      <w:r>
        <w:rPr>
          <w:color w:val="222222"/>
          <w:sz w:val="21"/>
        </w:rPr>
        <w:t xml:space="preserve"> Control firms are always domestically owned (requires fof variable).</w:t>
      </w:r>
    </w:p>
    <w:p>
      <w:pPr>
        <w:spacing w:after="100" w:before="0"/>
      </w:pPr>
      <w:r>
        <w:rPr>
          <w:i w:val="0"/>
          <w:color w:val="222222"/>
          <w:sz w:val="21"/>
        </w:rPr>
        <w:t>Firms failing any check are saved to bad_ids.dta. Setting DROP_BAD = 1 removes them and saves a clean dataset. Running with USE_CLEAN = 1 then applies all estimations to the clean sample.</w:t>
      </w:r>
    </w:p>
    <w:p>
      <w:pPr>
        <w:pStyle w:val="Heading1"/>
        <w:spacing w:before="360" w:after="120"/>
      </w:pPr>
      <w:r>
        <w:rPr>
          <w:b/>
          <w:color w:val="1F3A5F"/>
          <w:sz w:val="36"/>
        </w:rPr>
        <w:t>3. File Structure</w:t>
      </w:r>
    </w:p>
    <w:p>
      <w:pPr>
        <w:spacing w:after="100" w:before="0"/>
      </w:pPr>
      <w:r>
        <w:rPr>
          <w:i w:val="0"/>
          <w:color w:val="222222"/>
          <w:sz w:val="21"/>
        </w:rPr>
        <w:t>The pipeline consists of eight Stata do-files, all located in the stata/ subfolder. Only 00_prep.do needs to be run; it calls the estimation modules in sequence.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04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04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Key outputs</w:t>
            </w:r>
          </w:p>
        </w:tc>
      </w:tr>
      <w:tr>
        <w:tc>
          <w:tcPr>
            <w:tcW w:type="dxa" w:w="3041"/>
            <w:shd w:val="clear" w:color="auto" w:fill="EEF2F7"/>
          </w:tcPr>
          <w:p>
            <w:r>
              <w:rPr>
                <w:rFonts w:ascii="Courier New" w:hAnsi="Courier New"/>
                <w:sz w:val="18"/>
              </w:rPr>
              <w:t>00_prep.do</w:t>
            </w:r>
          </w:p>
        </w:tc>
        <w:tc>
          <w:tcPr>
            <w:tcW w:type="dxa" w:w="3041"/>
          </w:tcPr>
          <w:p>
            <w:r>
              <w:t>Master + setup + data build</w:t>
            </w:r>
          </w:p>
        </w:tc>
        <w:tc>
          <w:tcPr>
            <w:tcW w:type="dxa" w:w="3041"/>
          </w:tcPr>
          <w:p>
            <w:r>
              <w:t>analysis_modern_did_inputs.dta, bad_ids.dta, sets $ANALYSIS_FILE</w:t>
            </w:r>
          </w:p>
        </w:tc>
      </w:tr>
      <w:tr>
        <w:tc>
          <w:tcPr>
            <w:tcW w:type="dxa" w:w="3041"/>
            <w:shd w:val="clear" w:color="auto" w:fill="EEF2F7"/>
          </w:tcPr>
          <w:p>
            <w:r>
              <w:rPr>
                <w:rFonts w:ascii="Courier New" w:hAnsi="Courier New"/>
                <w:sz w:val="18"/>
              </w:rPr>
              <w:t>01_twfe.do</w:t>
            </w:r>
          </w:p>
        </w:tc>
        <w:tc>
          <w:tcPr>
            <w:tcW w:type="dxa" w:w="3041"/>
          </w:tcPr>
          <w:p>
            <w:r>
              <w:t>TWFE event study</w:t>
            </w:r>
          </w:p>
        </w:tc>
        <w:tc>
          <w:tcPr>
            <w:tcW w:type="dxa" w:w="3041"/>
          </w:tcPr>
          <w:p>
            <w:r>
              <w:t>TWFE_&lt;y&gt;_-4_9.xlsx / .png  (one per outcome)</w:t>
            </w:r>
          </w:p>
        </w:tc>
      </w:tr>
      <w:tr>
        <w:tc>
          <w:tcPr>
            <w:tcW w:type="dxa" w:w="3041"/>
            <w:shd w:val="clear" w:color="auto" w:fill="EEF2F7"/>
          </w:tcPr>
          <w:p>
            <w:r>
              <w:rPr>
                <w:rFonts w:ascii="Courier New" w:hAnsi="Courier New"/>
                <w:sz w:val="18"/>
              </w:rPr>
              <w:t>02_sun_abraham.do</w:t>
            </w:r>
          </w:p>
        </w:tc>
        <w:tc>
          <w:tcPr>
            <w:tcW w:type="dxa" w:w="3041"/>
          </w:tcPr>
          <w:p>
            <w:r>
              <w:t>Sun-Abraham estimator</w:t>
            </w:r>
          </w:p>
        </w:tc>
        <w:tc>
          <w:tcPr>
            <w:tcW w:type="dxa" w:w="3041"/>
          </w:tcPr>
          <w:p>
            <w:r>
              <w:t>SA_&lt;y&gt;_-4_9.xlsx / .png</w:t>
            </w:r>
          </w:p>
        </w:tc>
      </w:tr>
      <w:tr>
        <w:tc>
          <w:tcPr>
            <w:tcW w:type="dxa" w:w="3041"/>
            <w:shd w:val="clear" w:color="auto" w:fill="EEF2F7"/>
          </w:tcPr>
          <w:p>
            <w:r>
              <w:rPr>
                <w:rFonts w:ascii="Courier New" w:hAnsi="Courier New"/>
                <w:sz w:val="18"/>
              </w:rPr>
              <w:t>03_csdid.do</w:t>
            </w:r>
          </w:p>
        </w:tc>
        <w:tc>
          <w:tcPr>
            <w:tcW w:type="dxa" w:w="3041"/>
          </w:tcPr>
          <w:p>
            <w:r>
              <w:t>Callaway-Sant'Anna estimator</w:t>
            </w:r>
          </w:p>
        </w:tc>
        <w:tc>
          <w:tcPr>
            <w:tcW w:type="dxa" w:w="3041"/>
          </w:tcPr>
          <w:p>
            <w:r>
              <w:t>CSDID_&lt;y&gt;_-4_9.xlsx / .png</w:t>
            </w:r>
          </w:p>
        </w:tc>
      </w:tr>
      <w:tr>
        <w:tc>
          <w:tcPr>
            <w:tcW w:type="dxa" w:w="3041"/>
            <w:shd w:val="clear" w:color="auto" w:fill="EEF2F7"/>
          </w:tcPr>
          <w:p>
            <w:r>
              <w:rPr>
                <w:rFonts w:ascii="Courier New" w:hAnsi="Courier New"/>
                <w:sz w:val="18"/>
              </w:rPr>
              <w:t>04_did_imputation.do</w:t>
            </w:r>
          </w:p>
        </w:tc>
        <w:tc>
          <w:tcPr>
            <w:tcW w:type="dxa" w:w="3041"/>
          </w:tcPr>
          <w:p>
            <w:r>
              <w:t>BJS imputation estimator</w:t>
            </w:r>
          </w:p>
        </w:tc>
        <w:tc>
          <w:tcPr>
            <w:tcW w:type="dxa" w:w="3041"/>
          </w:tcPr>
          <w:p>
            <w:r>
              <w:t>did_imputation_-4_9.log</w:t>
            </w:r>
          </w:p>
        </w:tc>
      </w:tr>
      <w:tr>
        <w:tc>
          <w:tcPr>
            <w:tcW w:type="dxa" w:w="3041"/>
            <w:shd w:val="clear" w:color="auto" w:fill="EEF2F7"/>
          </w:tcPr>
          <w:p>
            <w:r>
              <w:rPr>
                <w:rFonts w:ascii="Courier New" w:hAnsi="Courier New"/>
                <w:sz w:val="18"/>
              </w:rPr>
              <w:t>05_extra_tests.do</w:t>
            </w:r>
          </w:p>
        </w:tc>
        <w:tc>
          <w:tcPr>
            <w:tcW w:type="dxa" w:w="3041"/>
          </w:tcPr>
          <w:p>
            <w:r>
              <w:t>Placebo, Bacon, wild bootstrap</w:t>
            </w:r>
          </w:p>
        </w:tc>
        <w:tc>
          <w:tcPr>
            <w:tcW w:type="dxa" w:w="3041"/>
          </w:tcPr>
          <w:p>
            <w:r>
              <w:t>Printed to Stata output / Results window</w:t>
            </w:r>
          </w:p>
        </w:tc>
      </w:tr>
      <w:tr>
        <w:tc>
          <w:tcPr>
            <w:tcW w:type="dxa" w:w="3041"/>
            <w:shd w:val="clear" w:color="auto" w:fill="EEF2F7"/>
          </w:tcPr>
          <w:p>
            <w:r>
              <w:rPr>
                <w:rFonts w:ascii="Courier New" w:hAnsi="Courier New"/>
                <w:sz w:val="18"/>
              </w:rPr>
              <w:t>06_comparison_figure.do</w:t>
            </w:r>
          </w:p>
        </w:tc>
        <w:tc>
          <w:tcPr>
            <w:tcW w:type="dxa" w:w="3041"/>
          </w:tcPr>
          <w:p>
            <w:r>
              <w:t>Overlay plot TWFE vs SA vs CSDID</w:t>
            </w:r>
          </w:p>
        </w:tc>
        <w:tc>
          <w:tcPr>
            <w:tcW w:type="dxa" w:w="3041"/>
          </w:tcPr>
          <w:p>
            <w:r>
              <w:t>COMPARE_lnva_L_-4_9.png</w:t>
            </w:r>
          </w:p>
        </w:tc>
      </w:tr>
      <w:tr>
        <w:tc>
          <w:tcPr>
            <w:tcW w:type="dxa" w:w="3041"/>
            <w:shd w:val="clear" w:color="auto" w:fill="EEF2F7"/>
          </w:tcPr>
          <w:p>
            <w:r>
              <w:rPr>
                <w:rFonts w:ascii="Courier New" w:hAnsi="Courier New"/>
                <w:sz w:val="18"/>
              </w:rPr>
              <w:t>07_honest_did.do</w:t>
            </w:r>
          </w:p>
        </w:tc>
        <w:tc>
          <w:tcPr>
            <w:tcW w:type="dxa" w:w="3041"/>
          </w:tcPr>
          <w:p>
            <w:r>
              <w:t>HonestDiD sensitivity</w:t>
            </w:r>
          </w:p>
        </w:tc>
        <w:tc>
          <w:tcPr>
            <w:tcW w:type="dxa" w:w="3041"/>
          </w:tcPr>
          <w:p>
            <w:r>
              <w:t>HonestDiD_M_&lt;y&gt;.xlsx/.png, HonestDiD_RM_&lt;y&gt;.xlsx/.png</w:t>
            </w:r>
          </w:p>
        </w:tc>
      </w:tr>
      <w:tr>
        <w:tc>
          <w:tcPr>
            <w:tcW w:type="dxa" w:w="3041"/>
            <w:shd w:val="clear" w:color="auto" w:fill="EEF2F7"/>
          </w:tcPr>
          <w:p>
            <w:r>
              <w:rPr>
                <w:rFonts w:ascii="Courier New" w:hAnsi="Courier New"/>
                <w:sz w:val="18"/>
              </w:rPr>
              <w:t>08_figures.do</w:t>
            </w:r>
          </w:p>
        </w:tc>
        <w:tc>
          <w:tcPr>
            <w:tcW w:type="dxa" w:w="3041"/>
          </w:tcPr>
          <w:p>
            <w:r>
              <w:t>Standalone figure generator</w:t>
            </w:r>
          </w:p>
        </w:tc>
        <w:tc>
          <w:tcPr>
            <w:tcW w:type="dxa" w:w="3041"/>
          </w:tcPr>
          <w:p>
            <w:r>
              <w:t>Fig_TWFE/SA/CSDID/Compare_&lt;y&gt;.png, Fig_All_TWFE/SA/CSDID.png, Fig_HonestDiD_*.png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1F3A5F"/>
          <w:sz w:val="26"/>
        </w:rPr>
        <w:t>3.1  User Settings (top of 00_prep.do)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Global / Toggle</w:t>
            </w:r>
          </w:p>
        </w:tc>
        <w:tc>
          <w:tcPr>
            <w:tcW w:type="dxa" w:w="304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304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041"/>
            <w:shd w:val="clear" w:color="auto" w:fill="EEF2F7"/>
          </w:tcPr>
          <w:p>
            <w:r>
              <w:rPr>
                <w:rFonts w:ascii="Courier New" w:hAnsi="Courier New"/>
                <w:sz w:val="18"/>
              </w:rPr>
              <w:t>$ROOT</w:t>
            </w:r>
          </w:p>
        </w:tc>
        <w:tc>
          <w:tcPr>
            <w:tcW w:type="dxa" w:w="3041"/>
          </w:tcPr>
          <w:p>
            <w:r>
              <w:t>UNC path</w:t>
            </w:r>
          </w:p>
        </w:tc>
        <w:tc>
          <w:tcPr>
            <w:tcW w:type="dxa" w:w="3041"/>
          </w:tcPr>
          <w:p>
            <w:r>
              <w:t>Root folder containing data and do-files</w:t>
            </w:r>
          </w:p>
        </w:tc>
      </w:tr>
      <w:tr>
        <w:tc>
          <w:tcPr>
            <w:tcW w:type="dxa" w:w="3041"/>
            <w:shd w:val="clear" w:color="auto" w:fill="EEF2F7"/>
          </w:tcPr>
          <w:p>
            <w:r>
              <w:rPr>
                <w:rFonts w:ascii="Courier New" w:hAnsi="Courier New"/>
                <w:sz w:val="18"/>
              </w:rPr>
              <w:t>$DODIR</w:t>
            </w:r>
          </w:p>
        </w:tc>
        <w:tc>
          <w:tcPr>
            <w:tcW w:type="dxa" w:w="3041"/>
          </w:tcPr>
          <w:p>
            <w:r>
              <w:t>$ROOT\stata</w:t>
            </w:r>
          </w:p>
        </w:tc>
        <w:tc>
          <w:tcPr>
            <w:tcW w:type="dxa" w:w="3041"/>
          </w:tcPr>
          <w:p>
            <w:r>
              <w:t>Folder containing 01_twfe.do … 07_honest_did.do</w:t>
            </w:r>
          </w:p>
        </w:tc>
      </w:tr>
      <w:tr>
        <w:tc>
          <w:tcPr>
            <w:tcW w:type="dxa" w:w="3041"/>
            <w:shd w:val="clear" w:color="auto" w:fill="EEF2F7"/>
          </w:tcPr>
          <w:p>
            <w:r>
              <w:rPr>
                <w:rFonts w:ascii="Courier New" w:hAnsi="Courier New"/>
                <w:sz w:val="18"/>
              </w:rPr>
              <w:t>$DROP_BAD</w:t>
            </w:r>
          </w:p>
        </w:tc>
        <w:tc>
          <w:tcPr>
            <w:tcW w:type="dxa" w:w="3041"/>
          </w:tcPr>
          <w:p>
            <w:r>
              <w:t>0</w:t>
            </w:r>
          </w:p>
        </w:tc>
        <w:tc>
          <w:tcPr>
            <w:tcW w:type="dxa" w:w="3041"/>
          </w:tcPr>
          <w:p>
            <w:r>
              <w:t>1 = drop bad ids and save clean dataset</w:t>
            </w:r>
          </w:p>
        </w:tc>
      </w:tr>
      <w:tr>
        <w:tc>
          <w:tcPr>
            <w:tcW w:type="dxa" w:w="3041"/>
            <w:shd w:val="clear" w:color="auto" w:fill="EEF2F7"/>
          </w:tcPr>
          <w:p>
            <w:r>
              <w:rPr>
                <w:rFonts w:ascii="Courier New" w:hAnsi="Courier New"/>
                <w:sz w:val="18"/>
              </w:rPr>
              <w:t>$USE_CLEAN</w:t>
            </w:r>
          </w:p>
        </w:tc>
        <w:tc>
          <w:tcPr>
            <w:tcW w:type="dxa" w:w="3041"/>
          </w:tcPr>
          <w:p>
            <w:r>
              <w:t>0</w:t>
            </w:r>
          </w:p>
        </w:tc>
        <w:tc>
          <w:tcPr>
            <w:tcW w:type="dxa" w:w="3041"/>
          </w:tcPr>
          <w:p>
            <w:r>
              <w:t>1 = use clean dataset (requires DROP_BAD=1 first)</w:t>
            </w:r>
          </w:p>
        </w:tc>
      </w:tr>
      <w:tr>
        <w:tc>
          <w:tcPr>
            <w:tcW w:type="dxa" w:w="3041"/>
            <w:shd w:val="clear" w:color="auto" w:fill="EEF2F7"/>
          </w:tcPr>
          <w:p>
            <w:r>
              <w:rPr>
                <w:rFonts w:ascii="Courier New" w:hAnsi="Courier New"/>
                <w:sz w:val="18"/>
              </w:rPr>
              <w:t>$tmin / $tmax</w:t>
            </w:r>
          </w:p>
        </w:tc>
        <w:tc>
          <w:tcPr>
            <w:tcW w:type="dxa" w:w="3041"/>
          </w:tcPr>
          <w:p>
            <w:r>
              <w:t>-4 / 9</w:t>
            </w:r>
          </w:p>
        </w:tc>
        <w:tc>
          <w:tcPr>
            <w:tcW w:type="dxa" w:w="3041"/>
          </w:tcPr>
          <w:p>
            <w:r>
              <w:t>Event-study window endpoints</w:t>
            </w:r>
          </w:p>
        </w:tc>
      </w:tr>
      <w:tr>
        <w:tc>
          <w:tcPr>
            <w:tcW w:type="dxa" w:w="3041"/>
            <w:shd w:val="clear" w:color="auto" w:fill="EEF2F7"/>
          </w:tcPr>
          <w:p>
            <w:r>
              <w:rPr>
                <w:rFonts w:ascii="Courier New" w:hAnsi="Courier New"/>
                <w:sz w:val="18"/>
              </w:rPr>
              <w:t>$winflag</w:t>
            </w:r>
          </w:p>
        </w:tc>
        <w:tc>
          <w:tcPr>
            <w:tcW w:type="dxa" w:w="3041"/>
          </w:tcPr>
          <w:p>
            <w:r>
              <w:t>sample_4_9==1</w:t>
            </w:r>
          </w:p>
        </w:tc>
        <w:tc>
          <w:tcPr>
            <w:tcW w:type="dxa" w:w="3041"/>
          </w:tcPr>
          <w:p>
            <w:r>
              <w:t>Observation-level window restriction</w:t>
            </w:r>
          </w:p>
        </w:tc>
      </w:tr>
      <w:tr>
        <w:tc>
          <w:tcPr>
            <w:tcW w:type="dxa" w:w="3041"/>
            <w:shd w:val="clear" w:color="auto" w:fill="EEF2F7"/>
          </w:tcPr>
          <w:p>
            <w:r>
              <w:rPr>
                <w:rFonts w:ascii="Courier New" w:hAnsi="Courier New"/>
                <w:sz w:val="18"/>
              </w:rPr>
              <w:t>$CTRL_DEFAULT</w:t>
            </w:r>
          </w:p>
        </w:tc>
        <w:tc>
          <w:tcPr>
            <w:tcW w:type="dxa" w:w="3041"/>
          </w:tcPr>
          <w:p>
            <w:r>
              <w:t>p_firm_age …</w:t>
            </w:r>
          </w:p>
        </w:tc>
        <w:tc>
          <w:tcPr>
            <w:tcW w:type="dxa" w:w="3041"/>
          </w:tcPr>
          <w:p>
            <w:r>
              <w:t>Covariate list passed to all estimators</w:t>
            </w:r>
          </w:p>
        </w:tc>
      </w:tr>
      <w:tr>
        <w:tc>
          <w:tcPr>
            <w:tcW w:type="dxa" w:w="3041"/>
            <w:shd w:val="clear" w:color="auto" w:fill="EEF2F7"/>
          </w:tcPr>
          <w:p>
            <w:r>
              <w:rPr>
                <w:rFonts w:ascii="Courier New" w:hAnsi="Courier New"/>
                <w:sz w:val="18"/>
              </w:rPr>
              <w:t>$OUTCOMES</w:t>
            </w:r>
          </w:p>
        </w:tc>
        <w:tc>
          <w:tcPr>
            <w:tcW w:type="dxa" w:w="3041"/>
          </w:tcPr>
          <w:p>
            <w:r>
              <w:t>lnva_L …</w:t>
            </w:r>
          </w:p>
        </w:tc>
        <w:tc>
          <w:tcPr>
            <w:tcW w:type="dxa" w:w="3041"/>
          </w:tcPr>
          <w:p>
            <w:r>
              <w:t>Space-separated list of outcome variables</w:t>
            </w:r>
          </w:p>
        </w:tc>
      </w:tr>
      <w:tr>
        <w:tc>
          <w:tcPr>
            <w:tcW w:type="dxa" w:w="3041"/>
            <w:shd w:val="clear" w:color="auto" w:fill="EEF2F7"/>
          </w:tcPr>
          <w:p>
            <w:r>
              <w:rPr>
                <w:rFonts w:ascii="Courier New" w:hAnsi="Courier New"/>
                <w:sz w:val="18"/>
              </w:rPr>
              <w:t>$SFLAG_&lt;outcome&gt;</w:t>
            </w:r>
          </w:p>
        </w:tc>
        <w:tc>
          <w:tcPr>
            <w:tcW w:type="dxa" w:w="3041"/>
          </w:tcPr>
          <w:p>
            <w:r>
              <w:t>varies</w:t>
            </w:r>
          </w:p>
        </w:tc>
        <w:tc>
          <w:tcPr>
            <w:tcW w:type="dxa" w:w="3041"/>
          </w:tcPr>
          <w:p>
            <w:r>
              <w:t>Per-outcome sample flag (e.g. control_sample==1)</w:t>
            </w:r>
          </w:p>
        </w:tc>
      </w:tr>
      <w:tr>
        <w:tc>
          <w:tcPr>
            <w:tcW w:type="dxa" w:w="3041"/>
            <w:shd w:val="clear" w:color="auto" w:fill="EEF2F7"/>
          </w:tcPr>
          <w:p>
            <w:r>
              <w:rPr>
                <w:rFonts w:ascii="Courier New" w:hAnsi="Courier New"/>
                <w:sz w:val="18"/>
              </w:rPr>
              <w:t>$HONESTDID_NPRE</w:t>
            </w:r>
          </w:p>
        </w:tc>
        <w:tc>
          <w:tcPr>
            <w:tcW w:type="dxa" w:w="3041"/>
          </w:tcPr>
          <w:p>
            <w:r>
              <w:t>3</w:t>
            </w:r>
          </w:p>
        </w:tc>
        <w:tc>
          <w:tcPr>
            <w:tcW w:type="dxa" w:w="3041"/>
          </w:tcPr>
          <w:p>
            <w:r>
              <w:t>Number of pre-treatment dummies (t=−4,−3,−2)</w:t>
            </w:r>
          </w:p>
        </w:tc>
      </w:tr>
      <w:tr>
        <w:tc>
          <w:tcPr>
            <w:tcW w:type="dxa" w:w="3041"/>
            <w:shd w:val="clear" w:color="auto" w:fill="EEF2F7"/>
          </w:tcPr>
          <w:p>
            <w:r>
              <w:rPr>
                <w:rFonts w:ascii="Courier New" w:hAnsi="Courier New"/>
                <w:sz w:val="18"/>
              </w:rPr>
              <w:t>$HONESTDID_NPOST</w:t>
            </w:r>
          </w:p>
        </w:tc>
        <w:tc>
          <w:tcPr>
            <w:tcW w:type="dxa" w:w="3041"/>
          </w:tcPr>
          <w:p>
            <w:r>
              <w:t>10</w:t>
            </w:r>
          </w:p>
        </w:tc>
        <w:tc>
          <w:tcPr>
            <w:tcW w:type="dxa" w:w="3041"/>
          </w:tcPr>
          <w:p>
            <w:r>
              <w:t>Number of post-treatment dummies (t=0…9)</w:t>
            </w:r>
          </w:p>
        </w:tc>
      </w:tr>
      <w:tr>
        <w:tc>
          <w:tcPr>
            <w:tcW w:type="dxa" w:w="3041"/>
            <w:shd w:val="clear" w:color="auto" w:fill="EEF2F7"/>
          </w:tcPr>
          <w:p>
            <w:r>
              <w:rPr>
                <w:rFonts w:ascii="Courier New" w:hAnsi="Courier New"/>
                <w:sz w:val="18"/>
              </w:rPr>
              <w:t>$HONESTDID_MVEC_SMOOTH</w:t>
            </w:r>
          </w:p>
        </w:tc>
        <w:tc>
          <w:tcPr>
            <w:tcW w:type="dxa" w:w="3041"/>
          </w:tcPr>
          <w:p>
            <w:r>
              <w:t>0(0.5)2</w:t>
            </w:r>
          </w:p>
        </w:tc>
        <w:tc>
          <w:tcPr>
            <w:tcW w:type="dxa" w:w="3041"/>
          </w:tcPr>
          <w:p>
            <w:r>
              <w:t>Grid for smoothness restriction M</w:t>
            </w:r>
          </w:p>
        </w:tc>
      </w:tr>
      <w:tr>
        <w:tc>
          <w:tcPr>
            <w:tcW w:type="dxa" w:w="3041"/>
            <w:shd w:val="clear" w:color="auto" w:fill="EEF2F7"/>
          </w:tcPr>
          <w:p>
            <w:r>
              <w:rPr>
                <w:rFonts w:ascii="Courier New" w:hAnsi="Courier New"/>
                <w:sz w:val="18"/>
              </w:rPr>
              <w:t>$HONESTDID_MVEC_RM</w:t>
            </w:r>
          </w:p>
        </w:tc>
        <w:tc>
          <w:tcPr>
            <w:tcW w:type="dxa" w:w="3041"/>
          </w:tcPr>
          <w:p>
            <w:r>
              <w:t>0(0.25)1</w:t>
            </w:r>
          </w:p>
        </w:tc>
        <w:tc>
          <w:tcPr>
            <w:tcW w:type="dxa" w:w="3041"/>
          </w:tcPr>
          <w:p>
            <w:r>
              <w:t>Grid for relative-magnitudes Mbar</w:t>
            </w:r>
          </w:p>
        </w:tc>
      </w:tr>
    </w:tbl>
    <w:p/>
    <w:p>
      <w:pPr>
        <w:pStyle w:val="Heading1"/>
        <w:spacing w:before="360" w:after="120"/>
      </w:pPr>
      <w:r>
        <w:rPr>
          <w:b/>
          <w:color w:val="1F3A5F"/>
          <w:sz w:val="36"/>
        </w:rPr>
        <w:t>4. Estimation Methods</w:t>
      </w:r>
    </w:p>
    <w:p>
      <w:pPr>
        <w:spacing w:after="100" w:before="0"/>
      </w:pPr>
      <w:r>
        <w:rPr>
          <w:i w:val="0"/>
          <w:color w:val="222222"/>
          <w:sz w:val="21"/>
        </w:rPr>
        <w:t>All four estimators share the same event-study design: a balanced window of t = −4 to +9 relative to acquisition, with t = −1 as the normalisation period. Pre-treatment coefficients (t = −4, −3, −2) serve as a parallel-trends test; post-treatment coefficients (t = 0 … +9) trace out the dynamic treatment effect.</w:t>
      </w:r>
    </w:p>
    <w:p>
      <w:pPr>
        <w:pStyle w:val="Heading2"/>
        <w:spacing w:before="240" w:after="80"/>
      </w:pPr>
      <w:r>
        <w:rPr>
          <w:b/>
          <w:color w:val="1F3A5F"/>
          <w:sz w:val="26"/>
        </w:rPr>
        <w:t>4.1  Two-Way Fixed Effects (TWFE) — 01_twfe.do</w:t>
      </w:r>
    </w:p>
    <w:p>
      <w:pPr>
        <w:spacing w:after="100" w:before="0"/>
      </w:pPr>
      <w:r>
        <w:rPr>
          <w:i w:val="0"/>
          <w:color w:val="222222"/>
          <w:sz w:val="21"/>
        </w:rPr>
        <w:t>The classical panel estimator absorbs firm fixed effects (controlling for all time-invariant heterogeneity) and year fixed effects (controlling for aggregate shocks common to all firms). The event-study version adds binary indicator variables for each combination of treated firm × event time.</w:t>
      </w:r>
    </w:p>
    <w:p>
      <w:pPr>
        <w:pStyle w:val="Heading3"/>
        <w:spacing w:before="200" w:after="40"/>
      </w:pPr>
      <w:r>
        <w:rPr>
          <w:b/>
          <w:color w:val="222222"/>
          <w:sz w:val="22"/>
        </w:rPr>
        <w:t>Model</w:t>
      </w:r>
    </w:p>
    <w:p>
      <w:pPr>
        <w:spacing w:after="120"/>
        <w:ind w:left="576"/>
      </w:pPr>
      <w:r>
        <w:rPr>
          <w:i/>
        </w:rPr>
        <w:t>Y</w:t>
      </w:r>
      <w:r>
        <w:t xml:space="preserve">ᵢₜ = αᵢ + λₜ + </w:t>
      </w:r>
      <w:r>
        <w:rPr>
          <w:b/>
        </w:rPr>
        <w:t>∑</w:t>
      </w:r>
      <w:r>
        <w:t xml:space="preserve">  βₖ · 𝟙(reltime = k) · treated_firmᵢ + X′ᵢₜ γ + εᵢₜ</w:t>
      </w:r>
    </w:p>
    <w:p>
      <w:pPr>
        <w:spacing w:after="100" w:before="0"/>
      </w:pPr>
      <w:r>
        <w:rPr>
          <w:i w:val="0"/>
          <w:color w:val="222222"/>
          <w:sz w:val="21"/>
        </w:rPr>
        <w:t>where αᵢ are firm FEs, λₜ are year FEs, k ∈ {−4,−3,−2, 0,…,9} (k = −1 omitted as reference), and Xᵢₜ are time-varying controls. Standard errors are clustered at the firm level. Estimated with reghdfe.</w:t>
      </w:r>
    </w:p>
    <w:p>
      <w:pPr>
        <w:pStyle w:val="Heading3"/>
        <w:spacing w:before="200" w:after="40"/>
      </w:pPr>
      <w:r>
        <w:rPr>
          <w:b/>
          <w:color w:val="222222"/>
          <w:sz w:val="22"/>
        </w:rPr>
        <w:t>Implementation note — explicit binary dummies</w:t>
      </w:r>
    </w:p>
    <w:p>
      <w:pPr>
        <w:spacing w:after="100" w:before="0"/>
      </w:pPr>
      <w:r>
        <w:rPr>
          <w:i w:val="0"/>
          <w:color w:val="222222"/>
          <w:sz w:val="21"/>
        </w:rPr>
        <w:t>Because reltime is missing for control firms, using Stata's factor-variable interaction syntax (ib(-1).reltime##i.treated_firm) would silently drop all control observations from the regression. The pipeline instead generates explicit binary dummies d_m4, d_m3, d_m2, d_p0 … d_p9 that are set to 0 for control observations. Controls therefore remain in the regression and contribute to the estimation of the fixed effects.</w:t>
      </w:r>
    </w:p>
    <w:p>
      <w:pPr>
        <w:pStyle w:val="Heading3"/>
        <w:spacing w:before="200" w:after="40"/>
      </w:pPr>
      <w:r>
        <w:rPr>
          <w:b/>
          <w:color w:val="222222"/>
          <w:sz w:val="22"/>
        </w:rPr>
        <w:t>Pros</w:t>
      </w:r>
    </w:p>
    <w:p>
      <w:pPr>
        <w:pStyle w:val="ListBullet"/>
        <w:spacing w:after="60"/>
        <w:ind w:left="360"/>
      </w:pPr>
      <w:r>
        <w:rPr>
          <w:color w:val="1A6B3C"/>
          <w:sz w:val="21"/>
        </w:rPr>
        <w:t>Simple, transparent, and widely used — referees and readers will be familiar with it.</w:t>
      </w:r>
    </w:p>
    <w:p>
      <w:pPr>
        <w:pStyle w:val="ListBullet"/>
        <w:spacing w:after="60"/>
        <w:ind w:left="360"/>
      </w:pPr>
      <w:r>
        <w:rPr>
          <w:color w:val="1A6B3C"/>
          <w:sz w:val="21"/>
        </w:rPr>
        <w:t>Computationally fast; reghdfe handles large datasets efficiently.</w:t>
      </w:r>
    </w:p>
    <w:p>
      <w:pPr>
        <w:pStyle w:val="ListBullet"/>
        <w:spacing w:after="60"/>
        <w:ind w:left="360"/>
      </w:pPr>
      <w:r>
        <w:rPr>
          <w:color w:val="1A6B3C"/>
          <w:sz w:val="21"/>
        </w:rPr>
        <w:t>Easy to include rich covariate controls and arbitrary FE structures.</w:t>
      </w:r>
    </w:p>
    <w:p>
      <w:pPr>
        <w:pStyle w:val="ListBullet"/>
        <w:spacing w:after="60"/>
        <w:ind w:left="360"/>
      </w:pPr>
      <w:r>
        <w:rPr>
          <w:color w:val="1A6B3C"/>
          <w:sz w:val="21"/>
        </w:rPr>
        <w:t>The joint F-test on pre-treatment dummies is a standard and intuitive pre-trend test.</w:t>
      </w:r>
    </w:p>
    <w:p>
      <w:pPr>
        <w:pStyle w:val="Heading3"/>
        <w:spacing w:before="200" w:after="40"/>
      </w:pPr>
      <w:r>
        <w:rPr>
          <w:b/>
          <w:color w:val="222222"/>
          <w:sz w:val="22"/>
        </w:rPr>
        <w:t>Cons</w:t>
      </w:r>
    </w:p>
    <w:p>
      <w:pPr>
        <w:pStyle w:val="ListBullet"/>
        <w:spacing w:after="60"/>
        <w:ind w:left="360"/>
      </w:pPr>
      <w:r>
        <w:rPr>
          <w:color w:val="8B1A1A"/>
          <w:sz w:val="21"/>
        </w:rPr>
        <w:t>With staggered adoption, the TWFE estimator is a weighted average of all pairwise 2×2 DID comparisons. Some weights can be negative when treatment effects are heterogeneous across cohorts (Goodman-Bacon 2021). This means the estimator can be biased — even in the wrong direction.</w:t>
      </w:r>
    </w:p>
    <w:p>
      <w:pPr>
        <w:pStyle w:val="ListBullet"/>
        <w:spacing w:after="60"/>
        <w:ind w:left="360"/>
      </w:pPr>
      <w:r>
        <w:rPr>
          <w:color w:val="8B1A1A"/>
          <w:sz w:val="21"/>
        </w:rPr>
        <w:t>Already-treated firms are used as implicit control units for later-treated cohorts, violating the clean-comparison requirement.</w:t>
      </w:r>
    </w:p>
    <w:p>
      <w:pPr>
        <w:pStyle w:val="ListBullet"/>
        <w:spacing w:after="60"/>
        <w:ind w:left="360"/>
      </w:pPr>
      <w:r>
        <w:rPr>
          <w:color w:val="8B1A1A"/>
          <w:sz w:val="21"/>
        </w:rPr>
        <w:t>Gives a single pooled post-treatment average rather than cohort-specific effects.</w:t>
      </w:r>
    </w:p>
    <w:p>
      <w:pPr>
        <w:pStyle w:val="Heading2"/>
        <w:spacing w:before="240" w:after="80"/>
      </w:pPr>
      <w:r>
        <w:rPr>
          <w:b/>
          <w:color w:val="1F3A5F"/>
          <w:sz w:val="26"/>
        </w:rPr>
        <w:t>4.2  Sun-Abraham (SA) — 02_sun_abraham.do</w:t>
      </w:r>
    </w:p>
    <w:p>
      <w:pPr>
        <w:spacing w:after="100" w:before="0"/>
      </w:pPr>
      <w:r>
        <w:rPr>
          <w:i w:val="0"/>
          <w:color w:val="222222"/>
          <w:sz w:val="21"/>
        </w:rPr>
        <w:t>Sun and Abraham (2021) show that the TWFE event-study estimator is a weighted average of cohort-specific average treatment effects (CATTs) with potentially negative weights. Their estimator instead computes CATTs separately for each cohort-time cell and then aggregates them using shares of each cohort in the sample — a procedure called interaction-weighted (IW) estimation.</w:t>
      </w:r>
    </w:p>
    <w:p>
      <w:pPr>
        <w:pStyle w:val="Heading3"/>
        <w:spacing w:before="200" w:after="40"/>
      </w:pPr>
      <w:r>
        <w:rPr>
          <w:b/>
          <w:color w:val="222222"/>
          <w:sz w:val="22"/>
        </w:rPr>
        <w:t>Estimator</w:t>
      </w:r>
    </w:p>
    <w:p>
      <w:pPr>
        <w:spacing w:after="100" w:before="0"/>
      </w:pPr>
      <w:r>
        <w:rPr>
          <w:i w:val="0"/>
          <w:color w:val="222222"/>
          <w:sz w:val="21"/>
        </w:rPr>
        <w:t>The IW estimator runs a fully-saturated regression that interacts each event-time indicator with cohort dummies. The aggregate event-study coefficients are then formed as a weighted average of the cohort-specific coefficients, using cohort shares as weights. Implemented via eventstudyinteract (Stata).</w:t>
      </w:r>
    </w:p>
    <w:p>
      <w:pPr>
        <w:pStyle w:val="Heading3"/>
        <w:spacing w:before="200" w:after="40"/>
      </w:pPr>
      <w:r>
        <w:rPr>
          <w:b/>
          <w:color w:val="222222"/>
          <w:sz w:val="22"/>
        </w:rPr>
        <w:t>Pros</w:t>
      </w:r>
    </w:p>
    <w:p>
      <w:pPr>
        <w:pStyle w:val="ListBullet"/>
        <w:spacing w:after="60"/>
        <w:ind w:left="360"/>
      </w:pPr>
      <w:r>
        <w:rPr>
          <w:color w:val="1A6B3C"/>
          <w:sz w:val="21"/>
        </w:rPr>
        <w:t>Robust to heterogeneous treatment effects across cohorts — the aggregation weights are always non-negative.</w:t>
      </w:r>
    </w:p>
    <w:p>
      <w:pPr>
        <w:pStyle w:val="ListBullet"/>
        <w:spacing w:after="60"/>
        <w:ind w:left="360"/>
      </w:pPr>
      <w:r>
        <w:rPr>
          <w:color w:val="1A6B3C"/>
          <w:sz w:val="21"/>
        </w:rPr>
        <w:t>Directly comparable to TWFE in event-study plot format; easy to read.</w:t>
      </w:r>
    </w:p>
    <w:p>
      <w:pPr>
        <w:pStyle w:val="ListBullet"/>
        <w:spacing w:after="60"/>
        <w:ind w:left="360"/>
      </w:pPr>
      <w:r>
        <w:rPr>
          <w:color w:val="1A6B3C"/>
          <w:sz w:val="21"/>
        </w:rPr>
        <w:t>Provides a formal test of whether TWFE weights are problematic (compare SA coefficients to TWFE coefficients: large divergence signals heterogeneity).</w:t>
      </w:r>
    </w:p>
    <w:p>
      <w:pPr>
        <w:pStyle w:val="ListBullet"/>
        <w:spacing w:after="60"/>
        <w:ind w:left="360"/>
      </w:pPr>
      <w:r>
        <w:rPr>
          <w:color w:val="1A6B3C"/>
          <w:sz w:val="21"/>
        </w:rPr>
        <w:t>Never-treated firms are the comparison group only, so no 'forbidden' comparisons.</w:t>
      </w:r>
    </w:p>
    <w:p>
      <w:pPr>
        <w:pStyle w:val="Heading3"/>
        <w:spacing w:before="200" w:after="40"/>
      </w:pPr>
      <w:r>
        <w:rPr>
          <w:b/>
          <w:color w:val="222222"/>
          <w:sz w:val="22"/>
        </w:rPr>
        <w:t>Cons</w:t>
      </w:r>
    </w:p>
    <w:p>
      <w:pPr>
        <w:pStyle w:val="ListBullet"/>
        <w:spacing w:after="60"/>
        <w:ind w:left="360"/>
      </w:pPr>
      <w:r>
        <w:rPr>
          <w:color w:val="8B1A1A"/>
          <w:sz w:val="21"/>
        </w:rPr>
        <w:t>Requires a sufficiently large never-treated group to serve as the clean comparison; not applicable if all units are eventually treated.</w:t>
      </w:r>
    </w:p>
    <w:p>
      <w:pPr>
        <w:pStyle w:val="ListBullet"/>
        <w:spacing w:after="60"/>
        <w:ind w:left="360"/>
      </w:pPr>
      <w:r>
        <w:rPr>
          <w:color w:val="8B1A1A"/>
          <w:sz w:val="21"/>
        </w:rPr>
        <w:t>Efficiency loss compared to TWFE: more parameters are estimated (one per cohort × event-time cell), so standard errors are typically wider.</w:t>
      </w:r>
    </w:p>
    <w:p>
      <w:pPr>
        <w:pStyle w:val="ListBullet"/>
        <w:spacing w:after="60"/>
        <w:ind w:left="360"/>
      </w:pPr>
      <w:r>
        <w:rPr>
          <w:color w:val="8B1A1A"/>
          <w:sz w:val="21"/>
        </w:rPr>
        <w:t>Pre-trend test has lower power than TWFE because of the larger model.</w:t>
      </w:r>
    </w:p>
    <w:p>
      <w:pPr>
        <w:pStyle w:val="ListBullet"/>
        <w:spacing w:after="60"/>
        <w:ind w:left="360"/>
      </w:pPr>
      <w:r>
        <w:rPr>
          <w:color w:val="8B1A1A"/>
          <w:sz w:val="21"/>
        </w:rPr>
        <w:t>Cohort-specific estimates can be very noisy for small cohorts.</w:t>
      </w:r>
    </w:p>
    <w:p>
      <w:pPr>
        <w:pStyle w:val="Heading2"/>
        <w:spacing w:before="240" w:after="80"/>
      </w:pPr>
      <w:r>
        <w:rPr>
          <w:b/>
          <w:color w:val="1F3A5F"/>
          <w:sz w:val="26"/>
        </w:rPr>
        <w:t>4.3  Callaway-Sant'Anna (CSDID) — 03_csdid.do</w:t>
      </w:r>
    </w:p>
    <w:p>
      <w:pPr>
        <w:spacing w:after="100" w:before="0"/>
      </w:pPr>
      <w:r>
        <w:rPr>
          <w:i w:val="0"/>
          <w:color w:val="222222"/>
          <w:sz w:val="21"/>
        </w:rPr>
        <w:t>Callaway and Sant'Anna (2021) propose a non-parametric DID estimator that targets cohort-time average treatment effects ATT(g, t) — the average effect on cohort g at time t — and then aggregates them in user-specified ways (by event time, by calendar time, or into a single overall ATT). The pipeline uses the doubly-robust IPW estimator (method(dripw)) which combines outcome-regression and propensity-score approaches; it is consistent if either component is correctly specified.</w:t>
      </w:r>
    </w:p>
    <w:p>
      <w:pPr>
        <w:pStyle w:val="Heading3"/>
        <w:spacing w:before="200" w:after="40"/>
      </w:pPr>
      <w:r>
        <w:rPr>
          <w:b/>
          <w:color w:val="222222"/>
          <w:sz w:val="22"/>
        </w:rPr>
        <w:t>Aggregation</w:t>
      </w:r>
    </w:p>
    <w:p>
      <w:pPr>
        <w:spacing w:after="100" w:before="0"/>
      </w:pPr>
      <w:r>
        <w:rPr>
          <w:i w:val="0"/>
          <w:color w:val="222222"/>
          <w:sz w:val="21"/>
        </w:rPr>
        <w:t>estat event, window(-4 9) produces event-time aggregate ATTs — the average over cohorts of ATT(g, t−g = k) — which are directly comparable to the TWFE event-study coefficients.</w:t>
      </w:r>
    </w:p>
    <w:p>
      <w:pPr>
        <w:pStyle w:val="Heading3"/>
        <w:spacing w:before="200" w:after="40"/>
      </w:pPr>
      <w:r>
        <w:rPr>
          <w:b/>
          <w:color w:val="222222"/>
          <w:sz w:val="22"/>
        </w:rPr>
        <w:t>Pros</w:t>
      </w:r>
    </w:p>
    <w:p>
      <w:pPr>
        <w:pStyle w:val="ListBullet"/>
        <w:spacing w:after="60"/>
        <w:ind w:left="360"/>
      </w:pPr>
      <w:r>
        <w:rPr>
          <w:color w:val="1A6B3C"/>
          <w:sz w:val="21"/>
        </w:rPr>
        <w:t>Formally targets well-defined causal estimands (cohort-time ATTs).</w:t>
      </w:r>
    </w:p>
    <w:p>
      <w:pPr>
        <w:pStyle w:val="ListBullet"/>
        <w:spacing w:after="60"/>
        <w:ind w:left="360"/>
      </w:pPr>
      <w:r>
        <w:rPr>
          <w:color w:val="1A6B3C"/>
          <w:sz w:val="21"/>
        </w:rPr>
        <w:t>Doubly-robust: consistent if either the propensity score model or the outcome model is correctly specified.</w:t>
      </w:r>
    </w:p>
    <w:p>
      <w:pPr>
        <w:pStyle w:val="ListBullet"/>
        <w:spacing w:after="60"/>
        <w:ind w:left="360"/>
      </w:pPr>
      <w:r>
        <w:rPr>
          <w:color w:val="1A6B3C"/>
          <w:sz w:val="21"/>
        </w:rPr>
        <w:t>No negative-weight problem: aggregation is always over non-negative weights.</w:t>
      </w:r>
    </w:p>
    <w:p>
      <w:pPr>
        <w:pStyle w:val="ListBullet"/>
        <w:spacing w:after="60"/>
        <w:ind w:left="360"/>
      </w:pPr>
      <w:r>
        <w:rPr>
          <w:color w:val="1A6B3C"/>
          <w:sz w:val="21"/>
        </w:rPr>
        <w:t>Allows flexible choice of comparison group: never-treated, not-yet-treated, or both.</w:t>
      </w:r>
    </w:p>
    <w:p>
      <w:pPr>
        <w:pStyle w:val="ListBullet"/>
        <w:spacing w:after="60"/>
        <w:ind w:left="360"/>
      </w:pPr>
      <w:r>
        <w:rPr>
          <w:color w:val="1A6B3C"/>
          <w:sz w:val="21"/>
        </w:rPr>
        <w:t>Supports parallel-trends conditional on covariates (conditional DID).</w:t>
      </w:r>
    </w:p>
    <w:p>
      <w:pPr>
        <w:pStyle w:val="Heading3"/>
        <w:spacing w:before="200" w:after="40"/>
      </w:pPr>
      <w:r>
        <w:rPr>
          <w:b/>
          <w:color w:val="222222"/>
          <w:sz w:val="22"/>
        </w:rPr>
        <w:t>Cons</w:t>
      </w:r>
    </w:p>
    <w:p>
      <w:pPr>
        <w:pStyle w:val="ListBullet"/>
        <w:spacing w:after="60"/>
        <w:ind w:left="360"/>
      </w:pPr>
      <w:r>
        <w:rPr>
          <w:color w:val="8B1A1A"/>
          <w:sz w:val="21"/>
        </w:rPr>
        <w:t>Computationally intensive, especially with many cohorts or covariates.</w:t>
      </w:r>
    </w:p>
    <w:p>
      <w:pPr>
        <w:pStyle w:val="ListBullet"/>
        <w:spacing w:after="60"/>
        <w:ind w:left="360"/>
      </w:pPr>
      <w:r>
        <w:rPr>
          <w:color w:val="8B1A1A"/>
          <w:sz w:val="21"/>
        </w:rPr>
        <w:t>Inference requires a large number of clusters for the cluster bootstrap to be reliable.</w:t>
      </w:r>
    </w:p>
    <w:p>
      <w:pPr>
        <w:pStyle w:val="ListBullet"/>
        <w:spacing w:after="60"/>
        <w:ind w:left="360"/>
      </w:pPr>
      <w:r>
        <w:rPr>
          <w:color w:val="8B1A1A"/>
          <w:sz w:val="21"/>
        </w:rPr>
        <w:t>The doubly-robust estimator can behave poorly in finite samples when propensity scores are near 0 or 1 (extreme overlap violations).</w:t>
      </w:r>
    </w:p>
    <w:p>
      <w:pPr>
        <w:pStyle w:val="ListBullet"/>
        <w:spacing w:after="60"/>
        <w:ind w:left="360"/>
      </w:pPr>
      <w:r>
        <w:rPr>
          <w:color w:val="8B1A1A"/>
          <w:sz w:val="21"/>
        </w:rPr>
        <w:t>G must be coded as 0 for never-treated (not missing) — a common source of errors when interfacing with other estimation packages.</w:t>
      </w:r>
    </w:p>
    <w:p>
      <w:pPr>
        <w:pStyle w:val="ListBullet"/>
        <w:spacing w:after="60"/>
        <w:ind w:left="360"/>
      </w:pPr>
      <w:r>
        <w:rPr>
          <w:color w:val="8B1A1A"/>
          <w:sz w:val="21"/>
        </w:rPr>
        <w:t>The aggregation step (estat event) can produce label-parsing issues across csdid versions, requiring careful handling.</w:t>
      </w:r>
    </w:p>
    <w:p>
      <w:pPr>
        <w:pStyle w:val="Heading2"/>
        <w:spacing w:before="240" w:after="80"/>
      </w:pPr>
      <w:r>
        <w:rPr>
          <w:b/>
          <w:color w:val="1F3A5F"/>
          <w:sz w:val="26"/>
        </w:rPr>
        <w:t>4.4  Borusyak-Jaravel-Spiess Imputation (BJS) — 04_did_imputation.do</w:t>
      </w:r>
    </w:p>
    <w:p>
      <w:pPr>
        <w:spacing w:after="100" w:before="0"/>
      </w:pPr>
      <w:r>
        <w:rPr>
          <w:i w:val="0"/>
          <w:color w:val="222222"/>
          <w:sz w:val="21"/>
        </w:rPr>
        <w:t>Borusyak, Jaravel, and Spiess (2021, 2024) propose an imputation estimator. In a first step, the counterfactual outcome under no treatment is estimated from the pre-treatment observations of all units and the full panel of never-treated units (using firm and year FEs plus controls). In a second step, the treatment effect for each treated observation is estimated as the residual relative to its imputed counterfactual. Event-study estimates are then formed by averaging these unit-level estimates within each event-time horizon.</w:t>
      </w:r>
    </w:p>
    <w:p>
      <w:pPr>
        <w:pStyle w:val="Heading3"/>
        <w:spacing w:before="200" w:after="40"/>
      </w:pPr>
      <w:r>
        <w:rPr>
          <w:b/>
          <w:color w:val="222222"/>
          <w:sz w:val="22"/>
        </w:rPr>
        <w:t>Pros</w:t>
      </w:r>
    </w:p>
    <w:p>
      <w:pPr>
        <w:pStyle w:val="ListBullet"/>
        <w:spacing w:after="60"/>
        <w:ind w:left="360"/>
      </w:pPr>
      <w:r>
        <w:rPr>
          <w:color w:val="1A6B3C"/>
          <w:sz w:val="21"/>
        </w:rPr>
        <w:t>Efficient: by exploiting pre-treatment data of all units for the counterfactual imputation, it achieves semiparametric efficiency.</w:t>
      </w:r>
    </w:p>
    <w:p>
      <w:pPr>
        <w:pStyle w:val="ListBullet"/>
        <w:spacing w:after="60"/>
        <w:ind w:left="360"/>
      </w:pPr>
      <w:r>
        <w:rPr>
          <w:color w:val="1A6B3C"/>
          <w:sz w:val="21"/>
        </w:rPr>
        <w:t>Formally targets well-defined ATTs; no negative-weight problem.</w:t>
      </w:r>
    </w:p>
    <w:p>
      <w:pPr>
        <w:pStyle w:val="ListBullet"/>
        <w:spacing w:after="60"/>
        <w:ind w:left="360"/>
      </w:pPr>
      <w:r>
        <w:rPr>
          <w:color w:val="1A6B3C"/>
          <w:sz w:val="21"/>
        </w:rPr>
        <w:t>Pre-trend test is a joint test of whether the pre-treatment imputation residuals are zero — a natural and powerful specification test.</w:t>
      </w:r>
    </w:p>
    <w:p>
      <w:pPr>
        <w:pStyle w:val="ListBullet"/>
        <w:spacing w:after="60"/>
        <w:ind w:left="360"/>
      </w:pPr>
      <w:r>
        <w:rPr>
          <w:color w:val="1A6B3C"/>
          <w:sz w:val="21"/>
        </w:rPr>
        <w:t>Provides heteroskedasticity-robust and cluster-robust inference as standard.</w:t>
      </w:r>
    </w:p>
    <w:p>
      <w:pPr>
        <w:pStyle w:val="Heading3"/>
        <w:spacing w:before="200" w:after="40"/>
      </w:pPr>
      <w:r>
        <w:rPr>
          <w:b/>
          <w:color w:val="222222"/>
          <w:sz w:val="22"/>
        </w:rPr>
        <w:t>Cons</w:t>
      </w:r>
    </w:p>
    <w:p>
      <w:pPr>
        <w:pStyle w:val="ListBullet"/>
        <w:spacing w:after="60"/>
        <w:ind w:left="360"/>
      </w:pPr>
      <w:r>
        <w:rPr>
          <w:color w:val="8B1A1A"/>
          <w:sz w:val="21"/>
        </w:rPr>
        <w:t>Relies more heavily on the linear factor model for the counterfactual than non-parametric alternatives like CSDID.</w:t>
      </w:r>
    </w:p>
    <w:p>
      <w:pPr>
        <w:pStyle w:val="ListBullet"/>
        <w:spacing w:after="60"/>
        <w:ind w:left="360"/>
      </w:pPr>
      <w:r>
        <w:rPr>
          <w:color w:val="8B1A1A"/>
          <w:sz w:val="21"/>
        </w:rPr>
        <w:t>Requires a sufficiently long pre-treatment period for the imputation to be well-identified.</w:t>
      </w:r>
    </w:p>
    <w:p>
      <w:pPr>
        <w:pStyle w:val="ListBullet"/>
        <w:spacing w:after="60"/>
        <w:ind w:left="360"/>
      </w:pPr>
      <w:r>
        <w:rPr>
          <w:color w:val="8B1A1A"/>
          <w:sz w:val="21"/>
        </w:rPr>
        <w:t>The Stata package (did_imputation) is less mature than reghdfe and may have version-specific syntax differences.</w:t>
      </w:r>
    </w:p>
    <w:p>
      <w:pPr>
        <w:pStyle w:val="ListBullet"/>
        <w:spacing w:after="60"/>
        <w:ind w:left="360"/>
      </w:pPr>
      <w:r>
        <w:rPr>
          <w:color w:val="8B1A1A"/>
          <w:sz w:val="21"/>
        </w:rPr>
        <w:t>Output format varies across package versions; the pipeline therefore logs ereturn results rather than producing standardised Excel/graph output.</w:t>
      </w:r>
    </w:p>
    <w:p>
      <w:pPr>
        <w:pStyle w:val="Heading1"/>
        <w:spacing w:before="360" w:after="120"/>
      </w:pPr>
      <w:r>
        <w:rPr>
          <w:b/>
          <w:color w:val="1F3A5F"/>
          <w:sz w:val="36"/>
        </w:rPr>
        <w:t>5. Diagnostic Tests — 05_extra_tests.do</w:t>
      </w:r>
    </w:p>
    <w:p>
      <w:pPr>
        <w:pStyle w:val="Heading2"/>
        <w:spacing w:before="240" w:after="80"/>
      </w:pPr>
      <w:r>
        <w:rPr>
          <w:b/>
          <w:color w:val="1F3A5F"/>
          <w:sz w:val="26"/>
        </w:rPr>
        <w:t>5.1  Placebo-Shift Pre-Trend Test</w:t>
      </w:r>
    </w:p>
    <w:p>
      <w:pPr>
        <w:spacing w:after="100" w:before="0"/>
      </w:pPr>
      <w:r>
        <w:rPr>
          <w:i w:val="0"/>
          <w:color w:val="222222"/>
          <w:sz w:val="21"/>
        </w:rPr>
        <w:t>The acquisition year G is artificially shifted back by two years for all treated firms (G_pl = G − 2). The event study is then re-estimated using the placebo event time reltime_pl = t − G_pl. Under the null of parallel trends, the pre-treatment coefficients (t_pl = −4, −3, −2) of this shifted regression should be zero, because those periods correspond to real pre-treatment years. A significant joint test raises concern about the parallel-trends assumption.</w:t>
      </w:r>
    </w:p>
    <w:p>
      <w:pPr>
        <w:pStyle w:val="Heading2"/>
        <w:spacing w:before="240" w:after="80"/>
      </w:pPr>
      <w:r>
        <w:rPr>
          <w:b/>
          <w:color w:val="1F3A5F"/>
          <w:sz w:val="26"/>
        </w:rPr>
        <w:t>5.2  Bacon Decomposition</w:t>
      </w:r>
    </w:p>
    <w:p>
      <w:pPr>
        <w:spacing w:after="100" w:before="0"/>
      </w:pPr>
      <w:r>
        <w:rPr>
          <w:i w:val="0"/>
          <w:color w:val="222222"/>
          <w:sz w:val="21"/>
        </w:rPr>
        <w:t>Goodman-Bacon (2021) shows that the TWFE DID coefficient is a weighted average of all pairwise 2×2 DID comparisons: early-treated vs. never-treated, late-treated vs. never-treated, and (problematically) late-treated vs. early-treated. The bacondecomp command decomposes the overall estimate into these components and reports their weights. A large weight on the 'already-treated vs. later-treated' comparisons signals that the TWFE estimate may be contaminated by negative-weighting bias.</w:t>
      </w:r>
    </w:p>
    <w:p>
      <w:pPr>
        <w:pStyle w:val="Heading2"/>
        <w:spacing w:before="240" w:after="80"/>
      </w:pPr>
      <w:r>
        <w:rPr>
          <w:b/>
          <w:color w:val="1F3A5F"/>
          <w:sz w:val="26"/>
        </w:rPr>
        <w:t>5.3  Wild-Bootstrap Pre-Trend Test</w:t>
      </w:r>
    </w:p>
    <w:p>
      <w:pPr>
        <w:spacing w:after="100" w:before="0"/>
      </w:pPr>
      <w:r>
        <w:rPr>
          <w:i w:val="0"/>
          <w:color w:val="222222"/>
          <w:sz w:val="21"/>
        </w:rPr>
        <w:t>The standard cluster-robust F-test for pre-trends can be unreliable when the number of clusters is small. The wild cluster bootstrap (boottest, 999 replications, seed 12345) provides an alternative p-value that is more accurate in small-cluster settings. The joint null is H₀: d_m4 = d_m3 = d_m2 = 0.</w:t>
      </w:r>
    </w:p>
    <w:p>
      <w:pPr>
        <w:pStyle w:val="Heading1"/>
        <w:spacing w:before="360" w:after="120"/>
      </w:pPr>
      <w:r>
        <w:rPr>
          <w:b/>
          <w:color w:val="1F3A5F"/>
          <w:sz w:val="36"/>
        </w:rPr>
        <w:t>6. Comparison Figure — 06_comparison_figure.do</w:t>
      </w:r>
    </w:p>
    <w:p>
      <w:pPr>
        <w:spacing w:after="100" w:before="0"/>
      </w:pPr>
      <w:r>
        <w:rPr>
          <w:i w:val="0"/>
          <w:color w:val="222222"/>
          <w:sz w:val="21"/>
        </w:rPr>
        <w:t>The coefficients from TWFE, Sun-Abraham, and CSDID are plotted on the same axes for the main outcome lnva_L. Each estimator is shown with its own 95% confidence band. Visual alignment of the three sets of coefficients provides an informal robustness check: if they diverge substantially in the post-treatment period this suggests treatment-effect heterogeneity is economically important and the TWFE estimate is unreliable.</w:t>
      </w:r>
    </w:p>
    <w:p>
      <w:pPr>
        <w:pStyle w:val="Heading1"/>
        <w:spacing w:before="360" w:after="120"/>
      </w:pPr>
      <w:r>
        <w:rPr>
          <w:b/>
          <w:color w:val="1F3A5F"/>
          <w:sz w:val="36"/>
        </w:rPr>
        <w:t>7. HonestDiD Sensitivity Analysis — 07_honest_did.do</w:t>
      </w:r>
    </w:p>
    <w:p>
      <w:pPr>
        <w:spacing w:after="100" w:before="0"/>
      </w:pPr>
      <w:r>
        <w:rPr>
          <w:i w:val="0"/>
          <w:color w:val="222222"/>
          <w:sz w:val="21"/>
        </w:rPr>
        <w:t>Rambachan and Roth (2023) propose a method to characterise how sensitive the post-treatment estimates are to violations of the parallel-trends assumption. Rather than testing whether pre-trends are exactly zero, the method asks: if the parallel-trends assumption is violated by at most a certain amount, what is the resulting identified set for the treatment effect? Two types of restrictions are implemented.</w:t>
      </w:r>
    </w:p>
    <w:p>
      <w:pPr>
        <w:pStyle w:val="Heading2"/>
        <w:spacing w:before="240" w:after="80"/>
      </w:pPr>
      <w:r>
        <w:rPr>
          <w:b/>
          <w:color w:val="1F3A5F"/>
          <w:sz w:val="26"/>
        </w:rPr>
        <w:t>7.1  Smoothness Restriction (delta = sd)</w:t>
      </w:r>
    </w:p>
    <w:p>
      <w:pPr>
        <w:spacing w:after="100" w:before="0"/>
      </w:pPr>
      <w:r>
        <w:rPr>
          <w:i w:val="0"/>
          <w:color w:val="222222"/>
          <w:sz w:val="21"/>
        </w:rPr>
        <w:t>The second difference of the counterfactual trend — a measure of how much the trend accelerates or decelerates — is bounded by M. M = 0 means exact linear trends (no curvature); larger M allows more deviation. The pipeline evaluates M ∈ {0, 0.5, 1.0, 1.5, 2.0}. The output plot shows the identified set for each post-treatment period as a function of M.</w:t>
      </w:r>
    </w:p>
    <w:p>
      <w:pPr>
        <w:pStyle w:val="Heading2"/>
        <w:spacing w:before="240" w:after="80"/>
      </w:pPr>
      <w:r>
        <w:rPr>
          <w:b/>
          <w:color w:val="1F3A5F"/>
          <w:sz w:val="26"/>
        </w:rPr>
        <w:t>7.2  Relative Magnitudes (delta = rm)</w:t>
      </w:r>
    </w:p>
    <w:p>
      <w:pPr>
        <w:spacing w:after="100" w:before="0"/>
      </w:pPr>
      <w:r>
        <w:rPr>
          <w:i w:val="0"/>
          <w:color w:val="222222"/>
          <w:sz w:val="21"/>
        </w:rPr>
        <w:t>The maximum post-treatment violation of parallel trends is bounded by Mbar times the largest pre-treatment deviation observed. Mbar = 0 means the post-treatment violation cannot exceed the pre-treatment violation; Mbar = 1 allows it to be equal in magnitude. The pipeline evaluates Mbar ∈ {0, 0.25, 0.5, 0.75, 1.0}.</w:t>
      </w:r>
    </w:p>
    <w:p>
      <w:pPr>
        <w:pStyle w:val="Heading2"/>
        <w:spacing w:before="240" w:after="80"/>
      </w:pPr>
      <w:r>
        <w:rPr>
          <w:b/>
          <w:color w:val="1F3A5F"/>
          <w:sz w:val="26"/>
        </w:rPr>
        <w:t>7.3  Implementation</w:t>
      </w:r>
    </w:p>
    <w:p>
      <w:pPr>
        <w:spacing w:after="100" w:before="0"/>
      </w:pPr>
      <w:r>
        <w:rPr>
          <w:i w:val="0"/>
          <w:color w:val="222222"/>
          <w:sz w:val="21"/>
        </w:rPr>
        <w:t>The TWFE is re-estimated with the same explicit dummy variables as in 01_twfe.do (d_m4, d_m3, d_m2, d_p0 … d_p9). The coefficient vector e(b)[1..13] and variance matrix e(V)[1..13, 1..13] are passed to honestdid. The coefplot option produces a sensitivity plot directly. Results are exported to Excel for further inspection.</w:t>
      </w:r>
    </w:p>
    <w:p>
      <w:pPr>
        <w:pStyle w:val="Heading1"/>
        <w:spacing w:before="360" w:after="120"/>
      </w:pPr>
      <w:r>
        <w:rPr>
          <w:b/>
          <w:color w:val="1F3A5F"/>
          <w:sz w:val="36"/>
        </w:rPr>
        <w:t>8. Bugs Fixed Relative to Original Code</w:t>
      </w:r>
    </w:p>
    <w:p>
      <w:pPr>
        <w:spacing w:after="100" w:before="0"/>
      </w:pPr>
      <w:r>
        <w:rPr>
          <w:i w:val="0"/>
          <w:color w:val="222222"/>
          <w:sz w:val="21"/>
        </w:rPr>
        <w:t>The following bugs were identified during the code review and corrected in the modular version.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2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22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Bug</w:t>
            </w:r>
          </w:p>
        </w:tc>
        <w:tc>
          <w:tcPr>
            <w:tcW w:type="dxa" w:w="22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2280"/>
          </w:tcPr>
          <w:p>
            <w:r>
              <w:t>1</w:t>
            </w:r>
          </w:p>
        </w:tc>
        <w:tc>
          <w:tcPr>
            <w:tcW w:type="dxa" w:w="2280"/>
            <w:shd w:val="clear" w:color="auto" w:fill="EEF2F7"/>
          </w:tcPr>
          <w:p>
            <w:r>
              <w:rPr>
                <w:rFonts w:ascii="Courier New" w:hAnsi="Courier New"/>
                <w:sz w:val="18"/>
              </w:rPr>
              <w:t>All TWFE (01, 05, 07)</w:t>
            </w:r>
          </w:p>
        </w:tc>
        <w:tc>
          <w:tcPr>
            <w:tcW w:type="dxa" w:w="2280"/>
          </w:tcPr>
          <w:p>
            <w:r>
              <w:t>ib(-1).reltime##i.treated_firm silently drops all control observations because reltime = . for controls. Firm and year FEs estimated from treated units only.</w:t>
            </w:r>
          </w:p>
        </w:tc>
        <w:tc>
          <w:tcPr>
            <w:tcW w:type="dxa" w:w="2280"/>
          </w:tcPr>
          <w:p>
            <w:r>
              <w:t>Explicit binary dummies (d_m*, d_p*) set to 0 for controls. Controls remain in regression throughout.</w:t>
            </w:r>
          </w:p>
        </w:tc>
      </w:tr>
      <w:tr>
        <w:tc>
          <w:tcPr>
            <w:tcW w:type="dxa" w:w="2280"/>
          </w:tcPr>
          <w:p>
            <w:r>
              <w:t>2</w:t>
            </w:r>
          </w:p>
        </w:tc>
        <w:tc>
          <w:tcPr>
            <w:tcW w:type="dxa" w:w="2280"/>
            <w:shd w:val="clear" w:color="auto" w:fill="EEF2F7"/>
          </w:tcPr>
          <w:p>
            <w:r>
              <w:rPr>
                <w:rFonts w:ascii="Courier New" w:hAnsi="Courier New"/>
                <w:sz w:val="18"/>
              </w:rPr>
              <w:t>02_sun_abraham</w:t>
            </w:r>
          </w:p>
        </w:tc>
        <w:tc>
          <w:tcPr>
            <w:tcW w:type="dxa" w:w="2280"/>
          </w:tcPr>
          <w:p>
            <w:r>
              <w:t>control_cohort(.) passes a literal period as a variable name — not portable across eventstudyinteract versions.</w:t>
            </w:r>
          </w:p>
        </w:tc>
        <w:tc>
          <w:tcPr>
            <w:tcW w:type="dxa" w:w="2280"/>
          </w:tcPr>
          <w:p>
            <w:r>
              <w:t>Generate never_treated = (G==.) and pass as control_cohort(never_treated).</w:t>
            </w:r>
          </w:p>
        </w:tc>
      </w:tr>
      <w:tr>
        <w:tc>
          <w:tcPr>
            <w:tcW w:type="dxa" w:w="2280"/>
          </w:tcPr>
          <w:p>
            <w:r>
              <w:t>3</w:t>
            </w:r>
          </w:p>
        </w:tc>
        <w:tc>
          <w:tcPr>
            <w:tcW w:type="dxa" w:w="2280"/>
            <w:shd w:val="clear" w:color="auto" w:fill="EEF2F7"/>
          </w:tcPr>
          <w:p>
            <w:r>
              <w:rPr>
                <w:rFonts w:ascii="Courier New" w:hAnsi="Courier New"/>
                <w:sz w:val="18"/>
              </w:rPr>
              <w:t>03_csdid</w:t>
            </w:r>
          </w:p>
        </w:tc>
        <w:tc>
          <w:tcPr>
            <w:tcW w:type="dxa" w:w="2280"/>
          </w:tcPr>
          <w:p>
            <w:r>
              <w:t>G = . for controls, but csdid requires G = 0 for never-treated units.</w:t>
            </w:r>
          </w:p>
        </w:tc>
        <w:tc>
          <w:tcPr>
            <w:tcW w:type="dxa" w:w="2280"/>
          </w:tcPr>
          <w:p>
            <w:r>
              <w:t>Create G_cs = cond(G&lt;., G, 0) before csdid call.</w:t>
            </w:r>
          </w:p>
        </w:tc>
      </w:tr>
      <w:tr>
        <w:tc>
          <w:tcPr>
            <w:tcW w:type="dxa" w:w="2280"/>
          </w:tcPr>
          <w:p>
            <w:r>
              <w:t>4</w:t>
            </w:r>
          </w:p>
        </w:tc>
        <w:tc>
          <w:tcPr>
            <w:tcW w:type="dxa" w:w="2280"/>
            <w:shd w:val="clear" w:color="auto" w:fill="EEF2F7"/>
          </w:tcPr>
          <w:p>
            <w:r>
              <w:rPr>
                <w:rFonts w:ascii="Courier New" w:hAnsi="Courier New"/>
                <w:sz w:val="18"/>
              </w:rPr>
              <w:t>03_csdid</w:t>
            </w:r>
          </w:p>
        </w:tc>
        <w:tc>
          <w:tcPr>
            <w:tcW w:type="dxa" w:w="2280"/>
          </w:tcPr>
          <w:p>
            <w:r>
              <w:t>local colnames : rownames r(table) returns statistic labels (b se t p ll ul …), not parameter names.</w:t>
            </w:r>
          </w:p>
        </w:tc>
        <w:tc>
          <w:tcPr>
            <w:tcW w:type="dxa" w:w="2280"/>
          </w:tcPr>
          <w:p>
            <w:r>
              <w:t>Changed to colnames r(table).</w:t>
            </w:r>
          </w:p>
        </w:tc>
      </w:tr>
      <w:tr>
        <w:tc>
          <w:tcPr>
            <w:tcW w:type="dxa" w:w="2280"/>
          </w:tcPr>
          <w:p>
            <w:r>
              <w:t>5</w:t>
            </w:r>
          </w:p>
        </w:tc>
        <w:tc>
          <w:tcPr>
            <w:tcW w:type="dxa" w:w="2280"/>
            <w:shd w:val="clear" w:color="auto" w:fill="EEF2F7"/>
          </w:tcPr>
          <w:p>
            <w:r>
              <w:rPr>
                <w:rFonts w:ascii="Courier New" w:hAnsi="Courier New"/>
                <w:sz w:val="18"/>
              </w:rPr>
              <w:t>03_csdid</w:t>
            </w:r>
          </w:p>
        </w:tc>
        <w:tc>
          <w:tcPr>
            <w:tcW w:type="dxa" w:w="2280"/>
          </w:tcPr>
          <w:p>
            <w:r>
              <w:t>local val = real(regexs(1)) if regexm(…) — Stata's local command has no if qualifier; regexs(1) evaluated unconditionally.</w:t>
            </w:r>
          </w:p>
        </w:tc>
        <w:tc>
          <w:tcPr>
            <w:tcW w:type="dxa" w:w="2280"/>
          </w:tcPr>
          <w:p>
            <w:r>
              <w:t>Replaced with flow-control: if regexm(…) local val = real(regexs(1)).</w:t>
            </w:r>
          </w:p>
        </w:tc>
      </w:tr>
      <w:tr>
        <w:tc>
          <w:tcPr>
            <w:tcW w:type="dxa" w:w="2280"/>
          </w:tcPr>
          <w:p>
            <w:r>
              <w:t>6</w:t>
            </w:r>
          </w:p>
        </w:tc>
        <w:tc>
          <w:tcPr>
            <w:tcW w:type="dxa" w:w="2280"/>
            <w:shd w:val="clear" w:color="auto" w:fill="EEF2F7"/>
          </w:tcPr>
          <w:p>
            <w:r>
              <w:rPr>
                <w:rFonts w:ascii="Courier New" w:hAnsi="Courier New"/>
                <w:sz w:val="18"/>
              </w:rPr>
              <w:t>04_did_imputation</w:t>
            </w:r>
          </w:p>
        </w:tc>
        <w:tc>
          <w:tcPr>
            <w:tcW w:type="dxa" w:w="2280"/>
          </w:tcPr>
          <w:p>
            <w:r>
              <w:t>G = . for controls; did_imputation documentation requires G = 0 for never-treated.</w:t>
            </w:r>
          </w:p>
        </w:tc>
        <w:tc>
          <w:tcPr>
            <w:tcW w:type="dxa" w:w="2280"/>
          </w:tcPr>
          <w:p>
            <w:r>
              <w:t>Create G_bjs = cond(G&lt;., G, 0) before did_imputation call.</w:t>
            </w:r>
          </w:p>
        </w:tc>
      </w:tr>
      <w:tr>
        <w:tc>
          <w:tcPr>
            <w:tcW w:type="dxa" w:w="2280"/>
          </w:tcPr>
          <w:p>
            <w:r>
              <w:t>7</w:t>
            </w:r>
          </w:p>
        </w:tc>
        <w:tc>
          <w:tcPr>
            <w:tcW w:type="dxa" w:w="2280"/>
            <w:shd w:val="clear" w:color="auto" w:fill="EEF2F7"/>
          </w:tcPr>
          <w:p>
            <w:r>
              <w:rPr>
                <w:rFonts w:ascii="Courier New" w:hAnsi="Courier New"/>
                <w:sz w:val="18"/>
              </w:rPr>
              <w:t>04_did_imputation</w:t>
            </w:r>
          </w:p>
        </w:tc>
        <w:tc>
          <w:tcPr>
            <w:tcW w:type="dxa" w:w="2280"/>
          </w:tcPr>
          <w:p>
            <w:r>
              <w:t>pretrends(1/4) passes a numlist; pretrends() takes a single integer.</w:t>
            </w:r>
          </w:p>
        </w:tc>
        <w:tc>
          <w:tcPr>
            <w:tcW w:type="dxa" w:w="2280"/>
          </w:tcPr>
          <w:p>
            <w:r>
              <w:t>Changed to pretrends(4).</w:t>
            </w:r>
          </w:p>
        </w:tc>
      </w:tr>
      <w:tr>
        <w:tc>
          <w:tcPr>
            <w:tcW w:type="dxa" w:w="2280"/>
          </w:tcPr>
          <w:p>
            <w:r>
              <w:t>8</w:t>
            </w:r>
          </w:p>
        </w:tc>
        <w:tc>
          <w:tcPr>
            <w:tcW w:type="dxa" w:w="2280"/>
            <w:shd w:val="clear" w:color="auto" w:fill="EEF2F7"/>
          </w:tcPr>
          <w:p>
            <w:r>
              <w:rPr>
                <w:rFonts w:ascii="Courier New" w:hAnsi="Courier New"/>
                <w:sz w:val="18"/>
              </w:rPr>
              <w:t>05_extra_tests</w:t>
            </w:r>
          </w:p>
        </w:tc>
        <w:tc>
          <w:tcPr>
            <w:tcW w:type="dxa" w:w="2280"/>
          </w:tcPr>
          <w:p>
            <w:r>
              <w:t>capture program drop gen_es_dummies missing; re-running the do-file errors because the program is already defined.</w:t>
            </w:r>
          </w:p>
        </w:tc>
        <w:tc>
          <w:tcPr>
            <w:tcW w:type="dxa" w:w="2280"/>
          </w:tcPr>
          <w:p>
            <w:r>
              <w:t>Added capture program drop gen_es_dummies before program definition.</w:t>
            </w:r>
          </w:p>
        </w:tc>
      </w:tr>
      <w:tr>
        <w:tc>
          <w:tcPr>
            <w:tcW w:type="dxa" w:w="2280"/>
          </w:tcPr>
          <w:p>
            <w:r>
              <w:t>9</w:t>
            </w:r>
          </w:p>
        </w:tc>
        <w:tc>
          <w:tcPr>
            <w:tcW w:type="dxa" w:w="2280"/>
            <w:shd w:val="clear" w:color="auto" w:fill="EEF2F7"/>
          </w:tcPr>
          <w:p>
            <w:r>
              <w:rPr>
                <w:rFonts w:ascii="Courier New" w:hAnsi="Courier New"/>
                <w:sz w:val="18"/>
              </w:rPr>
              <w:t>Packages (00_prep)</w:t>
            </w:r>
          </w:p>
        </w:tc>
        <w:tc>
          <w:tcPr>
            <w:tcW w:type="dxa" w:w="2280"/>
          </w:tcPr>
          <w:p>
            <w:r>
              <w:t>coefplot not installed but required by honestdid, coefplot.</w:t>
            </w:r>
          </w:p>
        </w:tc>
        <w:tc>
          <w:tcPr>
            <w:tcW w:type="dxa" w:w="2280"/>
          </w:tcPr>
          <w:p>
            <w:r>
              <w:t>Added coefplot to the package installation loop.</w:t>
            </w:r>
          </w:p>
        </w:tc>
      </w:tr>
      <w:tr>
        <w:tc>
          <w:tcPr>
            <w:tcW w:type="dxa" w:w="2280"/>
          </w:tcPr>
          <w:p>
            <w:r>
              <w:t>10</w:t>
            </w:r>
          </w:p>
        </w:tc>
        <w:tc>
          <w:tcPr>
            <w:tcW w:type="dxa" w:w="2280"/>
            <w:shd w:val="clear" w:color="auto" w:fill="EEF2F7"/>
          </w:tcPr>
          <w:p>
            <w:r>
              <w:rPr>
                <w:rFonts w:ascii="Courier New" w:hAnsi="Courier New"/>
                <w:sz w:val="18"/>
              </w:rPr>
              <w:t>All modules</w:t>
            </w:r>
          </w:p>
        </w:tc>
        <w:tc>
          <w:tcPr>
            <w:tcW w:type="dxa" w:w="2280"/>
          </w:tcPr>
          <w:p>
            <w:r>
              <w:t>sflag_* defined as locals, invisible inside program define blocks and across do-file boundaries.</w:t>
            </w:r>
          </w:p>
        </w:tc>
        <w:tc>
          <w:tcPr>
            <w:tcW w:type="dxa" w:w="2280"/>
          </w:tcPr>
          <w:p>
            <w:r>
              <w:t>Promoted to globals $SFLAG_&lt;outcome&gt; in 00_prep.do.</w:t>
            </w:r>
          </w:p>
        </w:tc>
      </w:tr>
    </w:tbl>
    <w:p/>
    <w:p>
      <w:pPr>
        <w:pStyle w:val="Heading1"/>
        <w:spacing w:before="360" w:after="120"/>
      </w:pPr>
      <w:r>
        <w:rPr>
          <w:b/>
          <w:color w:val="1F3A5F"/>
          <w:sz w:val="36"/>
        </w:rPr>
        <w:t>9. Outputs</w:t>
      </w:r>
    </w:p>
    <w:p>
      <w:pPr>
        <w:pStyle w:val="Heading2"/>
        <w:spacing w:before="240" w:after="80"/>
      </w:pPr>
      <w:r>
        <w:rPr>
          <w:b/>
          <w:color w:val="1F3A5F"/>
          <w:sz w:val="26"/>
        </w:rPr>
        <w:t>9.1  Excel Files  (Output\ModernDID\excel\)</w:t>
      </w:r>
    </w:p>
    <w:p>
      <w:pPr>
        <w:pStyle w:val="ListBullet"/>
        <w:spacing w:after="60"/>
        <w:ind w:left="360"/>
      </w:pPr>
      <w:r>
        <w:rPr>
          <w:b/>
          <w:color w:val="222222"/>
          <w:sz w:val="21"/>
        </w:rPr>
        <w:t>TWFE_&lt;y&gt;_-4_9.xlsx</w:t>
      </w:r>
      <w:r>
        <w:rPr>
          <w:color w:val="222222"/>
          <w:sz w:val="21"/>
        </w:rPr>
        <w:t xml:space="preserve"> Columns: tid, b, lb, ub. One file per outcome.</w:t>
      </w:r>
    </w:p>
    <w:p>
      <w:pPr>
        <w:pStyle w:val="ListBullet"/>
        <w:spacing w:after="60"/>
        <w:ind w:left="360"/>
      </w:pPr>
      <w:r>
        <w:rPr>
          <w:b/>
          <w:color w:val="222222"/>
          <w:sz w:val="21"/>
        </w:rPr>
        <w:t>SA_&lt;y&gt;_-4_9.xlsx</w:t>
      </w:r>
      <w:r>
        <w:rPr>
          <w:color w:val="222222"/>
          <w:sz w:val="21"/>
        </w:rPr>
        <w:t xml:space="preserve"> Columns: tid, b, lb, ub. One file per outcome.</w:t>
      </w:r>
    </w:p>
    <w:p>
      <w:pPr>
        <w:pStyle w:val="ListBullet"/>
        <w:spacing w:after="60"/>
        <w:ind w:left="360"/>
      </w:pPr>
      <w:r>
        <w:rPr>
          <w:b/>
          <w:color w:val="222222"/>
          <w:sz w:val="21"/>
        </w:rPr>
        <w:t>CSDID_&lt;y&gt;_-4_9.xlsx</w:t>
      </w:r>
      <w:r>
        <w:rPr>
          <w:color w:val="222222"/>
          <w:sz w:val="21"/>
        </w:rPr>
        <w:t xml:space="preserve"> Columns: tid, b_cs, lb_cs, ub_cs. One file per outcome.</w:t>
      </w:r>
    </w:p>
    <w:p>
      <w:pPr>
        <w:pStyle w:val="ListBullet"/>
        <w:spacing w:after="60"/>
        <w:ind w:left="360"/>
      </w:pPr>
      <w:r>
        <w:rPr>
          <w:b/>
          <w:color w:val="222222"/>
          <w:sz w:val="21"/>
        </w:rPr>
        <w:t>HonestDiD_M_&lt;y&gt;.xlsx</w:t>
      </w:r>
      <w:r>
        <w:rPr>
          <w:color w:val="222222"/>
          <w:sz w:val="21"/>
        </w:rPr>
        <w:t xml:space="preserve"> Smoothness sensitivity table from r(HonestEventStudy).</w:t>
      </w:r>
    </w:p>
    <w:p>
      <w:pPr>
        <w:pStyle w:val="ListBullet"/>
        <w:spacing w:after="60"/>
        <w:ind w:left="360"/>
      </w:pPr>
      <w:r>
        <w:rPr>
          <w:b/>
          <w:color w:val="222222"/>
          <w:sz w:val="21"/>
        </w:rPr>
        <w:t>HonestDiD_RM_&lt;y&gt;.xlsx</w:t>
      </w:r>
      <w:r>
        <w:rPr>
          <w:color w:val="222222"/>
          <w:sz w:val="21"/>
        </w:rPr>
        <w:t xml:space="preserve"> Relative-magnitudes sensitivity table.</w:t>
      </w:r>
    </w:p>
    <w:p>
      <w:pPr>
        <w:pStyle w:val="Heading2"/>
        <w:spacing w:before="240" w:after="80"/>
      </w:pPr>
      <w:r>
        <w:rPr>
          <w:b/>
          <w:color w:val="1F3A5F"/>
          <w:sz w:val="26"/>
        </w:rPr>
        <w:t>9.2  Graphs  (Output\ModernDID\graphs\)</w:t>
      </w:r>
    </w:p>
    <w:p>
      <w:pPr>
        <w:pStyle w:val="ListBullet"/>
        <w:spacing w:after="60"/>
        <w:ind w:left="360"/>
      </w:pPr>
      <w:r>
        <w:rPr>
          <w:b/>
          <w:color w:val="222222"/>
          <w:sz w:val="21"/>
        </w:rPr>
        <w:t>TWFE_&lt;y&gt;_-4_9.png</w:t>
      </w:r>
      <w:r>
        <w:rPr>
          <w:color w:val="222222"/>
          <w:sz w:val="21"/>
        </w:rPr>
        <w:t xml:space="preserve"> Event-study plot (navy), 2400 px wide.</w:t>
      </w:r>
    </w:p>
    <w:p>
      <w:pPr>
        <w:pStyle w:val="ListBullet"/>
        <w:spacing w:after="60"/>
        <w:ind w:left="360"/>
      </w:pPr>
      <w:r>
        <w:rPr>
          <w:b/>
          <w:color w:val="222222"/>
          <w:sz w:val="21"/>
        </w:rPr>
        <w:t>SA_&lt;y&gt;_-4_9.png</w:t>
      </w:r>
      <w:r>
        <w:rPr>
          <w:color w:val="222222"/>
          <w:sz w:val="21"/>
        </w:rPr>
        <w:t xml:space="preserve"> Event-study plot (dark navy), 2400 px wide.</w:t>
      </w:r>
    </w:p>
    <w:p>
      <w:pPr>
        <w:pStyle w:val="ListBullet"/>
        <w:spacing w:after="60"/>
        <w:ind w:left="360"/>
      </w:pPr>
      <w:r>
        <w:rPr>
          <w:b/>
          <w:color w:val="222222"/>
          <w:sz w:val="21"/>
        </w:rPr>
        <w:t>CSDID_&lt;y&gt;_-4_9.png</w:t>
      </w:r>
      <w:r>
        <w:rPr>
          <w:color w:val="222222"/>
          <w:sz w:val="21"/>
        </w:rPr>
        <w:t xml:space="preserve"> Event-study plot (forest green), 2400 px wide.</w:t>
      </w:r>
    </w:p>
    <w:p>
      <w:pPr>
        <w:pStyle w:val="ListBullet"/>
        <w:spacing w:after="60"/>
        <w:ind w:left="360"/>
      </w:pPr>
      <w:r>
        <w:rPr>
          <w:b/>
          <w:color w:val="222222"/>
          <w:sz w:val="21"/>
        </w:rPr>
        <w:t>COMPARE_lnva_L_-4_9.png</w:t>
      </w:r>
      <w:r>
        <w:rPr>
          <w:color w:val="222222"/>
          <w:sz w:val="21"/>
        </w:rPr>
        <w:t xml:space="preserve"> Overlay of TWFE + SA + CSDID for lnva_L, 2600 px wide.</w:t>
      </w:r>
    </w:p>
    <w:p>
      <w:pPr>
        <w:pStyle w:val="ListBullet"/>
        <w:spacing w:after="60"/>
        <w:ind w:left="360"/>
      </w:pPr>
      <w:r>
        <w:rPr>
          <w:b/>
          <w:color w:val="222222"/>
          <w:sz w:val="21"/>
        </w:rPr>
        <w:t>HonestDiD_M_&lt;y&gt;.png</w:t>
      </w:r>
      <w:r>
        <w:rPr>
          <w:color w:val="222222"/>
          <w:sz w:val="21"/>
        </w:rPr>
        <w:t xml:space="preserve"> Sensitivity plot for smoothness restriction M.</w:t>
      </w:r>
    </w:p>
    <w:p>
      <w:pPr>
        <w:pStyle w:val="ListBullet"/>
        <w:spacing w:after="60"/>
        <w:ind w:left="360"/>
      </w:pPr>
      <w:r>
        <w:rPr>
          <w:b/>
          <w:color w:val="222222"/>
          <w:sz w:val="21"/>
        </w:rPr>
        <w:t>HonestDiD_RM_&lt;y&gt;.png</w:t>
      </w:r>
      <w:r>
        <w:rPr>
          <w:color w:val="222222"/>
          <w:sz w:val="21"/>
        </w:rPr>
        <w:t xml:space="preserve"> Sensitivity plot for relative magnitudes Mbar.</w:t>
      </w:r>
    </w:p>
    <w:p>
      <w:pPr>
        <w:pStyle w:val="Heading2"/>
        <w:spacing w:before="240" w:after="80"/>
      </w:pPr>
      <w:r>
        <w:rPr>
          <w:b/>
          <w:color w:val="1F3A5F"/>
          <w:sz w:val="26"/>
        </w:rPr>
        <w:t>9.3  Logs  (Output\ModernDID\logs\)</w:t>
      </w:r>
    </w:p>
    <w:p>
      <w:pPr>
        <w:pStyle w:val="ListBullet"/>
        <w:spacing w:after="60"/>
        <w:ind w:left="360"/>
      </w:pPr>
      <w:r>
        <w:rPr>
          <w:b/>
          <w:color w:val="222222"/>
          <w:sz w:val="21"/>
        </w:rPr>
        <w:t>sanity_flags.log</w:t>
      </w:r>
      <w:r>
        <w:rPr>
          <w:color w:val="222222"/>
          <w:sz w:val="21"/>
        </w:rPr>
        <w:t xml:space="preserve"> Tabulations of all seven data-quality checks.</w:t>
      </w:r>
    </w:p>
    <w:p>
      <w:pPr>
        <w:pStyle w:val="ListBullet"/>
        <w:spacing w:after="60"/>
        <w:ind w:left="360"/>
      </w:pPr>
      <w:r>
        <w:rPr>
          <w:b/>
          <w:color w:val="222222"/>
          <w:sz w:val="21"/>
        </w:rPr>
        <w:t>did_imputation_-4_9.log</w:t>
      </w:r>
      <w:r>
        <w:rPr>
          <w:color w:val="222222"/>
          <w:sz w:val="21"/>
        </w:rPr>
        <w:t xml:space="preserve"> Full ereturn output from did_imputation for all outcomes.</w:t>
      </w:r>
    </w:p>
    <w:p>
      <w:pPr>
        <w:pStyle w:val="Heading1"/>
        <w:spacing w:before="360" w:after="120"/>
      </w:pPr>
      <w:r>
        <w:rPr>
          <w:b/>
          <w:color w:val="1F3A5F"/>
          <w:sz w:val="36"/>
        </w:rPr>
        <w:t>10. References</w:t>
      </w:r>
    </w:p>
    <w:p>
      <w:pPr>
        <w:pStyle w:val="ListBullet"/>
        <w:spacing w:after="80"/>
      </w:pPr>
      <w:r>
        <w:rPr>
          <w:color w:val="222222"/>
          <w:sz w:val="20"/>
        </w:rPr>
        <w:t>Borusyak, K., Jaravel, X., &amp; Spiess, J. (2024). Revisiting event-study designs: Robust and efficient estimation. Review of Economic Studies, rdae007.</w:t>
      </w:r>
    </w:p>
    <w:p>
      <w:pPr>
        <w:pStyle w:val="ListBullet"/>
        <w:spacing w:after="80"/>
      </w:pPr>
      <w:r>
        <w:rPr>
          <w:color w:val="222222"/>
          <w:sz w:val="20"/>
        </w:rPr>
        <w:t>Callaway, B., &amp; Sant'Anna, P. H. C. (2021). Difference-in-differences with multiple time periods. Journal of Econometrics, 225(2), 200–230.</w:t>
      </w:r>
    </w:p>
    <w:p>
      <w:pPr>
        <w:pStyle w:val="ListBullet"/>
        <w:spacing w:after="80"/>
      </w:pPr>
      <w:r>
        <w:rPr>
          <w:color w:val="222222"/>
          <w:sz w:val="20"/>
        </w:rPr>
        <w:t>Goodman-Bacon, A. (2021). Difference-in-differences with variation in treatment timing. Journal of Econometrics, 225(2), 254–277.</w:t>
      </w:r>
    </w:p>
    <w:p>
      <w:pPr>
        <w:pStyle w:val="ListBullet"/>
        <w:spacing w:after="80"/>
      </w:pPr>
      <w:r>
        <w:rPr>
          <w:color w:val="222222"/>
          <w:sz w:val="20"/>
        </w:rPr>
        <w:t>Rambachan, A., &amp; Roth, J. (2023). A more credible approach to parallel trends. Review of Economic Studies, 90(5), 2555–2591.</w:t>
      </w:r>
    </w:p>
    <w:p>
      <w:pPr>
        <w:pStyle w:val="ListBullet"/>
        <w:spacing w:after="80"/>
      </w:pPr>
      <w:r>
        <w:rPr>
          <w:color w:val="222222"/>
          <w:sz w:val="20"/>
        </w:rPr>
        <w:t>Sun, L., &amp; Abraham, S. (2021). Estimating dynamic treatment effects in event studies with heterogeneous treatment effects. Journal of Econometrics, 225(2), 175–199.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