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4"/>
        </w:rPr>
        <w:t>Modern Difference-in-Differences Event-Study Pipeline</w:t>
      </w:r>
    </w:p>
    <w:p/>
    <w:p>
      <w:pPr>
        <w:jc w:val="center"/>
      </w:pPr>
      <w:r>
        <w:rPr>
          <w:i/>
          <w:color w:val="555555"/>
          <w:sz w:val="26"/>
        </w:rPr>
        <w:t>Documentation of Methods, Setup, and Implementation</w:t>
      </w:r>
    </w:p>
    <w:p/>
    <w:p>
      <w:pPr>
        <w:jc w:val="center"/>
      </w:pPr>
      <w:r>
        <w:rPr>
          <w:color w:val="222222"/>
          <w:sz w:val="22"/>
        </w:rPr>
        <w:t>Outcomes: lnva_L  ·  lsize  ·  edu_h  ·  exp_sales  ·  imp_sales</w:t>
        <w:br/>
        <w:t>Window: t = −4 to +9  ·  Reference: t = −1</w:t>
      </w:r>
    </w:p>
    <w:p>
      <w:pPr>
        <w:pBdr>
          <w:bottom w:val="single" w:sz="6" w:space="1" w:color="1F3A5F"/>
        </w:pBdr>
        <w:spacing w:after="120" w:before="120"/>
      </w:pP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1. Overview</w:t>
      </w:r>
    </w:p>
    <w:p>
      <w:pPr>
        <w:spacing w:after="100" w:before="0"/>
      </w:pPr>
      <w:r>
        <w:rPr>
          <w:i w:val="0"/>
          <w:color w:val="222222"/>
          <w:sz w:val="21"/>
        </w:rPr>
        <w:t>This pipeline estimates the causal effect of foreign acquisitions on Swedish firms using modern difference-in-differences (DID) methods. The dataset is a propensity-score-matched (PSM) sample of treated (acquired) and control (never acquired) firms observed over multiple calendar years. Five outcome variables are studied: log value added per worker (lnva_L), firm size (lsize), share of high-educated workers (edu_h), export sales (exp_sales), and import sales (imp_sales).</w:t>
      </w:r>
    </w:p>
    <w:p>
      <w:pPr>
        <w:spacing w:after="100" w:before="0"/>
      </w:pPr>
      <w:r>
        <w:rPr>
          <w:i w:val="0"/>
          <w:color w:val="222222"/>
          <w:sz w:val="21"/>
        </w:rPr>
        <w:t>The pipeline addresses a key challenge in the modern DID literature: when treatment is staggered across cohorts (different firms are acquired in different years), the classical two-way fixed-effects (TWFE) estimator can be biased because it uses already-treated units as implicit controls. Four complementary estimators are run to check robustness: TWFE, Sun-Abraham, Callaway-Sant'Anna, and Borusyak-Jaravel-Spiess. HonestDiD sensitivity analysis is added to assess how large a violation of parallel trends would be needed to overturn the results.</w:t>
      </w: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2. Data Setup and Key Variables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2.1  Source Data</w:t>
      </w:r>
    </w:p>
    <w:p>
      <w:pPr>
        <w:spacing w:after="100" w:before="0"/>
      </w:pPr>
      <w:r>
        <w:rPr>
          <w:i w:val="0"/>
          <w:color w:val="222222"/>
          <w:sz w:val="21"/>
        </w:rPr>
        <w:t>The starting point is the file PSM_matched_T_C_firms_all_years_auto_country_info_trade_reg_data.dta. This is the output of a prior propensity-score matching step that pairs each acquired firm with one or more never-acquired firms that were similar in observable characteristics before the acquisition.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2.2  Variables Constructed in the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456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4561"/>
            <w:shd w:val="clear" w:color="auto" w:fill="EEF2F7"/>
          </w:tcPr>
          <w:p>
            <w:r>
              <w:rPr>
                <w:rFonts w:ascii="Courier New" w:hAnsi="Courier New"/>
                <w:sz w:val="19"/>
              </w:rPr>
              <w:t>id</w:t>
            </w:r>
          </w:p>
        </w:tc>
        <w:tc>
          <w:tcPr>
            <w:tcW w:type="dxa" w:w="4561"/>
          </w:tcPr>
          <w:p>
            <w:r>
              <w:t>Firm identifier (renamed from firm)</w:t>
            </w:r>
          </w:p>
        </w:tc>
      </w:tr>
      <w:tr>
        <w:tc>
          <w:tcPr>
            <w:tcW w:type="dxa" w:w="4561"/>
            <w:shd w:val="clear" w:color="auto" w:fill="EEF2F7"/>
          </w:tcPr>
          <w:p>
            <w:r>
              <w:rPr>
                <w:rFonts w:ascii="Courier New" w:hAnsi="Courier New"/>
                <w:sz w:val="19"/>
              </w:rPr>
              <w:t>t</w:t>
            </w:r>
          </w:p>
        </w:tc>
        <w:tc>
          <w:tcPr>
            <w:tcW w:type="dxa" w:w="4561"/>
          </w:tcPr>
          <w:p>
            <w:r>
              <w:t>Calendar year (renamed from yr)</w:t>
            </w:r>
          </w:p>
        </w:tc>
      </w:tr>
      <w:tr>
        <w:tc>
          <w:tcPr>
            <w:tcW w:type="dxa" w:w="4561"/>
            <w:shd w:val="clear" w:color="auto" w:fill="EEF2F7"/>
          </w:tcPr>
          <w:p>
            <w:r>
              <w:rPr>
                <w:rFonts w:ascii="Courier New" w:hAnsi="Courier New"/>
                <w:sz w:val="19"/>
              </w:rPr>
              <w:t>treated_firm</w:t>
            </w:r>
          </w:p>
        </w:tc>
        <w:tc>
          <w:tcPr>
            <w:tcW w:type="dxa" w:w="4561"/>
          </w:tcPr>
          <w:p>
            <w:r>
              <w:t>1 if the firm is ever acquired during the sample; 0 for controls. Time-invariant: computed as max(treatment) within firm.</w:t>
            </w:r>
          </w:p>
        </w:tc>
      </w:tr>
      <w:tr>
        <w:tc>
          <w:tcPr>
            <w:tcW w:type="dxa" w:w="4561"/>
            <w:shd w:val="clear" w:color="auto" w:fill="EEF2F7"/>
          </w:tcPr>
          <w:p>
            <w:r>
              <w:rPr>
                <w:rFonts w:ascii="Courier New" w:hAnsi="Courier New"/>
                <w:sz w:val="19"/>
              </w:rPr>
              <w:t>G</w:t>
            </w:r>
          </w:p>
        </w:tc>
        <w:tc>
          <w:tcPr>
            <w:tcW w:type="dxa" w:w="4561"/>
          </w:tcPr>
          <w:p>
            <w:r>
              <w:t>Cohort year = the calendar year in which year_st_firm == 0 for treated firms. Missing for controls (never-treated).</w:t>
            </w:r>
          </w:p>
        </w:tc>
      </w:tr>
      <w:tr>
        <w:tc>
          <w:tcPr>
            <w:tcW w:type="dxa" w:w="4561"/>
            <w:shd w:val="clear" w:color="auto" w:fill="EEF2F7"/>
          </w:tcPr>
          <w:p>
            <w:r>
              <w:rPr>
                <w:rFonts w:ascii="Courier New" w:hAnsi="Courier New"/>
                <w:sz w:val="19"/>
              </w:rPr>
              <w:t>reltime</w:t>
            </w:r>
          </w:p>
        </w:tc>
        <w:tc>
          <w:tcPr>
            <w:tcW w:type="dxa" w:w="4561"/>
          </w:tcPr>
          <w:p>
            <w:r>
              <w:t>Event time = t − G for treated firms; missing for controls. Ranges from −4 to +9 in the analysis window.</w:t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1F3A5F"/>
          <w:sz w:val="26"/>
        </w:rPr>
        <w:t>2.3  Sample Restrictions</w:t>
      </w:r>
    </w:p>
    <w:p>
      <w:pPr>
        <w:spacing w:after="100" w:before="0"/>
      </w:pPr>
      <w:r>
        <w:rPr>
          <w:i w:val="0"/>
          <w:color w:val="222222"/>
          <w:sz w:val="21"/>
        </w:rPr>
        <w:t>Each outcome uses a dedicated sample flag (control_sample, control_sample_lsize, etc.) defined in the data-creation step. All estimations additionally restrict to observations within the event-study window (sample_4_9 == 1) and to calendar years up to 2019.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2.4  Sanity Checks</w:t>
      </w:r>
    </w:p>
    <w:p>
      <w:pPr>
        <w:spacing w:after="100" w:before="0"/>
      </w:pPr>
      <w:r>
        <w:rPr>
          <w:i w:val="0"/>
          <w:color w:val="222222"/>
          <w:sz w:val="21"/>
        </w:rPr>
        <w:t>Before estimation a series of seven data-quality checks are run and per-firm pass/fail flags are created: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1. Unique id-t</w:t>
      </w:r>
      <w:r>
        <w:rPr>
          <w:color w:val="222222"/>
          <w:sz w:val="21"/>
        </w:rPr>
        <w:t xml:space="preserve"> No duplicate firm-year observations.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2. Treatment coding</w:t>
      </w:r>
      <w:r>
        <w:rPr>
          <w:color w:val="222222"/>
          <w:sz w:val="21"/>
        </w:rPr>
        <w:t xml:space="preserve"> treatment ∈ {0, 1} and non-missing for all observations.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3. Controls never treated</w:t>
      </w:r>
      <w:r>
        <w:rPr>
          <w:color w:val="222222"/>
          <w:sz w:val="21"/>
        </w:rPr>
        <w:t xml:space="preserve"> Control firms have G and reltime missing throughout.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4. One event year</w:t>
      </w:r>
      <w:r>
        <w:rPr>
          <w:color w:val="222222"/>
          <w:sz w:val="21"/>
        </w:rPr>
        <w:t xml:space="preserve"> Each treated firm has exactly one row where year_st_firm = 0.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5. Unique cohort G</w:t>
      </w:r>
      <w:r>
        <w:rPr>
          <w:color w:val="222222"/>
          <w:sz w:val="21"/>
        </w:rPr>
        <w:t xml:space="preserve"> Each treated firm has a single, consistent G value.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6. year_st_firm consistency</w:t>
      </w:r>
      <w:r>
        <w:rPr>
          <w:color w:val="222222"/>
          <w:sz w:val="21"/>
        </w:rPr>
        <w:t xml:space="preserve"> year_st_firm = t − G for all treated observations.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7. Swedish ownership</w:t>
      </w:r>
      <w:r>
        <w:rPr>
          <w:color w:val="222222"/>
          <w:sz w:val="21"/>
        </w:rPr>
        <w:t xml:space="preserve"> Control firms are always domestically owned (requires fof variable).</w:t>
      </w:r>
    </w:p>
    <w:p>
      <w:pPr>
        <w:spacing w:after="100" w:before="0"/>
      </w:pPr>
      <w:r>
        <w:rPr>
          <w:i w:val="0"/>
          <w:color w:val="222222"/>
          <w:sz w:val="21"/>
        </w:rPr>
        <w:t>Firms failing any check are saved to bad_ids.dta. Setting DROP_BAD = 1 removes them and saves a clean dataset. Running with USE_CLEAN = 1 then applies all estimations to the clean sample.</w:t>
      </w: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3. File Structure</w:t>
      </w:r>
    </w:p>
    <w:p>
      <w:pPr>
        <w:spacing w:after="100" w:before="0"/>
      </w:pPr>
      <w:r>
        <w:rPr>
          <w:i w:val="0"/>
          <w:color w:val="222222"/>
          <w:sz w:val="21"/>
        </w:rPr>
        <w:t>The pipeline consists of eight Stata do-files, all located in the stata/ subfolder. Only 00_prep.do needs to be run; it calls the estimation modules in sequence.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04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304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Key outputs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00_prep.do</w:t>
            </w:r>
          </w:p>
        </w:tc>
        <w:tc>
          <w:tcPr>
            <w:tcW w:type="dxa" w:w="3041"/>
          </w:tcPr>
          <w:p>
            <w:r>
              <w:t>Master + setup + data build</w:t>
            </w:r>
          </w:p>
        </w:tc>
        <w:tc>
          <w:tcPr>
            <w:tcW w:type="dxa" w:w="3041"/>
          </w:tcPr>
          <w:p>
            <w:r>
              <w:t>analysis_modern_did_inputs.dta, bad_ids.dta, sets $ANALYSIS_FILE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01_twfe.do</w:t>
            </w:r>
          </w:p>
        </w:tc>
        <w:tc>
          <w:tcPr>
            <w:tcW w:type="dxa" w:w="3041"/>
          </w:tcPr>
          <w:p>
            <w:r>
              <w:t>TWFE event study</w:t>
            </w:r>
          </w:p>
        </w:tc>
        <w:tc>
          <w:tcPr>
            <w:tcW w:type="dxa" w:w="3041"/>
          </w:tcPr>
          <w:p>
            <w:r>
              <w:t>TWFE_&lt;y&gt;_-4_9.xlsx / .png  (one per outcome)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02_sun_abraham.do</w:t>
            </w:r>
          </w:p>
        </w:tc>
        <w:tc>
          <w:tcPr>
            <w:tcW w:type="dxa" w:w="3041"/>
          </w:tcPr>
          <w:p>
            <w:r>
              <w:t>Sun-Abraham estimator</w:t>
            </w:r>
          </w:p>
        </w:tc>
        <w:tc>
          <w:tcPr>
            <w:tcW w:type="dxa" w:w="3041"/>
          </w:tcPr>
          <w:p>
            <w:r>
              <w:t>SA_&lt;y&gt;_-4_9.xlsx / .png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03_csdid.do</w:t>
            </w:r>
          </w:p>
        </w:tc>
        <w:tc>
          <w:tcPr>
            <w:tcW w:type="dxa" w:w="3041"/>
          </w:tcPr>
          <w:p>
            <w:r>
              <w:t>Callaway-Sant'Anna estimator</w:t>
            </w:r>
          </w:p>
        </w:tc>
        <w:tc>
          <w:tcPr>
            <w:tcW w:type="dxa" w:w="3041"/>
          </w:tcPr>
          <w:p>
            <w:r>
              <w:t>CSDID_&lt;y&gt;_-4_9.xlsx / .png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04_did_imputation.do</w:t>
            </w:r>
          </w:p>
        </w:tc>
        <w:tc>
          <w:tcPr>
            <w:tcW w:type="dxa" w:w="3041"/>
          </w:tcPr>
          <w:p>
            <w:r>
              <w:t>BJS imputation estimator</w:t>
            </w:r>
          </w:p>
        </w:tc>
        <w:tc>
          <w:tcPr>
            <w:tcW w:type="dxa" w:w="3041"/>
          </w:tcPr>
          <w:p>
            <w:r>
              <w:t>did_imputation_-4_9.log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05_extra_tests.do</w:t>
            </w:r>
          </w:p>
        </w:tc>
        <w:tc>
          <w:tcPr>
            <w:tcW w:type="dxa" w:w="3041"/>
          </w:tcPr>
          <w:p>
            <w:r>
              <w:t>Placebo, Bacon, wild bootstrap</w:t>
            </w:r>
          </w:p>
        </w:tc>
        <w:tc>
          <w:tcPr>
            <w:tcW w:type="dxa" w:w="3041"/>
          </w:tcPr>
          <w:p>
            <w:r>
              <w:t>Printed to Stata output / Results window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06_comparison_figure.do</w:t>
            </w:r>
          </w:p>
        </w:tc>
        <w:tc>
          <w:tcPr>
            <w:tcW w:type="dxa" w:w="3041"/>
          </w:tcPr>
          <w:p>
            <w:r>
              <w:t>Overlay plot TWFE vs SA vs CSDID</w:t>
            </w:r>
          </w:p>
        </w:tc>
        <w:tc>
          <w:tcPr>
            <w:tcW w:type="dxa" w:w="3041"/>
          </w:tcPr>
          <w:p>
            <w:r>
              <w:t>COMPARE_lnva_L_-4_9.png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07_honest_did.do</w:t>
            </w:r>
          </w:p>
        </w:tc>
        <w:tc>
          <w:tcPr>
            <w:tcW w:type="dxa" w:w="3041"/>
          </w:tcPr>
          <w:p>
            <w:r>
              <w:t>HonestDiD sensitivity</w:t>
            </w:r>
          </w:p>
        </w:tc>
        <w:tc>
          <w:tcPr>
            <w:tcW w:type="dxa" w:w="3041"/>
          </w:tcPr>
          <w:p>
            <w:r>
              <w:t>HonestDiD_M_&lt;y&gt;.xlsx/.png, HonestDiD_RM_&lt;y&gt;.xlsx/.png</w:t>
            </w:r>
          </w:p>
        </w:tc>
      </w:tr>
    </w:tbl>
    <w:p/>
    <w:p>
      <w:pPr>
        <w:pStyle w:val="Heading2"/>
        <w:spacing w:before="240" w:after="80"/>
      </w:pPr>
      <w:r>
        <w:rPr>
          <w:b/>
          <w:color w:val="1F3A5F"/>
          <w:sz w:val="26"/>
        </w:rPr>
        <w:t>3.1  User Settings (top of 00_prep.do)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Global / Toggle</w:t>
            </w:r>
          </w:p>
        </w:tc>
        <w:tc>
          <w:tcPr>
            <w:tcW w:type="dxa" w:w="304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04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$ROOT</w:t>
            </w:r>
          </w:p>
        </w:tc>
        <w:tc>
          <w:tcPr>
            <w:tcW w:type="dxa" w:w="3041"/>
          </w:tcPr>
          <w:p>
            <w:r>
              <w:t>UNC path</w:t>
            </w:r>
          </w:p>
        </w:tc>
        <w:tc>
          <w:tcPr>
            <w:tcW w:type="dxa" w:w="3041"/>
          </w:tcPr>
          <w:p>
            <w:r>
              <w:t>Root folder containing data and do-files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$DODIR</w:t>
            </w:r>
          </w:p>
        </w:tc>
        <w:tc>
          <w:tcPr>
            <w:tcW w:type="dxa" w:w="3041"/>
          </w:tcPr>
          <w:p>
            <w:r>
              <w:t>$ROOT\stata</w:t>
            </w:r>
          </w:p>
        </w:tc>
        <w:tc>
          <w:tcPr>
            <w:tcW w:type="dxa" w:w="3041"/>
          </w:tcPr>
          <w:p>
            <w:r>
              <w:t>Folder containing 01_twfe.do … 07_honest_did.do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$DROP_BAD</w:t>
            </w:r>
          </w:p>
        </w:tc>
        <w:tc>
          <w:tcPr>
            <w:tcW w:type="dxa" w:w="3041"/>
          </w:tcPr>
          <w:p>
            <w:r>
              <w:t>0</w:t>
            </w:r>
          </w:p>
        </w:tc>
        <w:tc>
          <w:tcPr>
            <w:tcW w:type="dxa" w:w="3041"/>
          </w:tcPr>
          <w:p>
            <w:r>
              <w:t>1 = drop bad ids and save clean dataset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$USE_CLEAN</w:t>
            </w:r>
          </w:p>
        </w:tc>
        <w:tc>
          <w:tcPr>
            <w:tcW w:type="dxa" w:w="3041"/>
          </w:tcPr>
          <w:p>
            <w:r>
              <w:t>0</w:t>
            </w:r>
          </w:p>
        </w:tc>
        <w:tc>
          <w:tcPr>
            <w:tcW w:type="dxa" w:w="3041"/>
          </w:tcPr>
          <w:p>
            <w:r>
              <w:t>1 = use clean dataset (requires DROP_BAD=1 first)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$tmin / $tmax</w:t>
            </w:r>
          </w:p>
        </w:tc>
        <w:tc>
          <w:tcPr>
            <w:tcW w:type="dxa" w:w="3041"/>
          </w:tcPr>
          <w:p>
            <w:r>
              <w:t>-4 / 9</w:t>
            </w:r>
          </w:p>
        </w:tc>
        <w:tc>
          <w:tcPr>
            <w:tcW w:type="dxa" w:w="3041"/>
          </w:tcPr>
          <w:p>
            <w:r>
              <w:t>Event-study window endpoints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$winflag</w:t>
            </w:r>
          </w:p>
        </w:tc>
        <w:tc>
          <w:tcPr>
            <w:tcW w:type="dxa" w:w="3041"/>
          </w:tcPr>
          <w:p>
            <w:r>
              <w:t>sample_4_9==1</w:t>
            </w:r>
          </w:p>
        </w:tc>
        <w:tc>
          <w:tcPr>
            <w:tcW w:type="dxa" w:w="3041"/>
          </w:tcPr>
          <w:p>
            <w:r>
              <w:t>Observation-level window restriction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$CTRL_DEFAULT</w:t>
            </w:r>
          </w:p>
        </w:tc>
        <w:tc>
          <w:tcPr>
            <w:tcW w:type="dxa" w:w="3041"/>
          </w:tcPr>
          <w:p>
            <w:r>
              <w:t>p_firm_age …</w:t>
            </w:r>
          </w:p>
        </w:tc>
        <w:tc>
          <w:tcPr>
            <w:tcW w:type="dxa" w:w="3041"/>
          </w:tcPr>
          <w:p>
            <w:r>
              <w:t>Covariate list passed to all estimators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$OUTCOMES</w:t>
            </w:r>
          </w:p>
        </w:tc>
        <w:tc>
          <w:tcPr>
            <w:tcW w:type="dxa" w:w="3041"/>
          </w:tcPr>
          <w:p>
            <w:r>
              <w:t>lnva_L …</w:t>
            </w:r>
          </w:p>
        </w:tc>
        <w:tc>
          <w:tcPr>
            <w:tcW w:type="dxa" w:w="3041"/>
          </w:tcPr>
          <w:p>
            <w:r>
              <w:t>Space-separated list of outcome variables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$SFLAG_&lt;outcome&gt;</w:t>
            </w:r>
          </w:p>
        </w:tc>
        <w:tc>
          <w:tcPr>
            <w:tcW w:type="dxa" w:w="3041"/>
          </w:tcPr>
          <w:p>
            <w:r>
              <w:t>varies</w:t>
            </w:r>
          </w:p>
        </w:tc>
        <w:tc>
          <w:tcPr>
            <w:tcW w:type="dxa" w:w="3041"/>
          </w:tcPr>
          <w:p>
            <w:r>
              <w:t>Per-outcome sample flag (e.g. control_sample==1)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$HONESTDID_NPRE</w:t>
            </w:r>
          </w:p>
        </w:tc>
        <w:tc>
          <w:tcPr>
            <w:tcW w:type="dxa" w:w="3041"/>
          </w:tcPr>
          <w:p>
            <w:r>
              <w:t>3</w:t>
            </w:r>
          </w:p>
        </w:tc>
        <w:tc>
          <w:tcPr>
            <w:tcW w:type="dxa" w:w="3041"/>
          </w:tcPr>
          <w:p>
            <w:r>
              <w:t>Number of pre-treatment dummies (t=−4,−3,−2)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$HONESTDID_NPOST</w:t>
            </w:r>
          </w:p>
        </w:tc>
        <w:tc>
          <w:tcPr>
            <w:tcW w:type="dxa" w:w="3041"/>
          </w:tcPr>
          <w:p>
            <w:r>
              <w:t>10</w:t>
            </w:r>
          </w:p>
        </w:tc>
        <w:tc>
          <w:tcPr>
            <w:tcW w:type="dxa" w:w="3041"/>
          </w:tcPr>
          <w:p>
            <w:r>
              <w:t>Number of post-treatment dummies (t=0…9)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$HONESTDID_MVEC_SMOOTH</w:t>
            </w:r>
          </w:p>
        </w:tc>
        <w:tc>
          <w:tcPr>
            <w:tcW w:type="dxa" w:w="3041"/>
          </w:tcPr>
          <w:p>
            <w:r>
              <w:t>0(0.5)2</w:t>
            </w:r>
          </w:p>
        </w:tc>
        <w:tc>
          <w:tcPr>
            <w:tcW w:type="dxa" w:w="3041"/>
          </w:tcPr>
          <w:p>
            <w:r>
              <w:t>Grid for smoothness restriction M</w:t>
            </w:r>
          </w:p>
        </w:tc>
      </w:tr>
      <w:tr>
        <w:tc>
          <w:tcPr>
            <w:tcW w:type="dxa" w:w="3041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$HONESTDID_MVEC_RM</w:t>
            </w:r>
          </w:p>
        </w:tc>
        <w:tc>
          <w:tcPr>
            <w:tcW w:type="dxa" w:w="3041"/>
          </w:tcPr>
          <w:p>
            <w:r>
              <w:t>0(0.25)1</w:t>
            </w:r>
          </w:p>
        </w:tc>
        <w:tc>
          <w:tcPr>
            <w:tcW w:type="dxa" w:w="3041"/>
          </w:tcPr>
          <w:p>
            <w:r>
              <w:t>Grid for relative-magnitudes Mbar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1F3A5F"/>
          <w:sz w:val="36"/>
        </w:rPr>
        <w:t>4. Estimation Methods</w:t>
      </w:r>
    </w:p>
    <w:p>
      <w:pPr>
        <w:spacing w:after="100" w:before="0"/>
      </w:pPr>
      <w:r>
        <w:rPr>
          <w:i w:val="0"/>
          <w:color w:val="222222"/>
          <w:sz w:val="21"/>
        </w:rPr>
        <w:t>All four estimators share the same event-study design: a balanced window of t = −4 to +9 relative to acquisition, with t = −1 as the normalisation period. Pre-treatment coefficients (t = −4, −3, −2) serve as a parallel-trends test; post-treatment coefficients (t = 0 … +9) trace out the dynamic treatment effect.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4.1  Two-Way Fixed Effects (TWFE) — 01_twfe.do</w:t>
      </w:r>
    </w:p>
    <w:p>
      <w:pPr>
        <w:spacing w:after="100" w:before="0"/>
      </w:pPr>
      <w:r>
        <w:rPr>
          <w:i w:val="0"/>
          <w:color w:val="222222"/>
          <w:sz w:val="21"/>
        </w:rPr>
        <w:t>The classical panel estimator absorbs firm fixed effects (controlling for all time-invariant heterogeneity) and year fixed effects (controlling for aggregate shocks common to all firms). The event-study version adds binary indicator variables for each combination of treated firm × event time.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Model</w:t>
      </w:r>
    </w:p>
    <w:p>
      <w:pPr>
        <w:spacing w:after="120"/>
        <w:ind w:left="576"/>
      </w:pPr>
      <w:r>
        <w:rPr>
          <w:i/>
        </w:rPr>
        <w:t>Y</w:t>
      </w:r>
      <w:r>
        <w:t xml:space="preserve">ᵢₜ = αᵢ + λₜ + </w:t>
      </w:r>
      <w:r>
        <w:rPr>
          <w:b/>
        </w:rPr>
        <w:t>∑</w:t>
      </w:r>
      <w:r>
        <w:t xml:space="preserve">  βₖ · 𝟙(reltime = k) · treated_firmᵢ + X′ᵢₜ γ + εᵢₜ</w:t>
      </w:r>
    </w:p>
    <w:p>
      <w:pPr>
        <w:spacing w:after="100" w:before="0"/>
      </w:pPr>
      <w:r>
        <w:rPr>
          <w:i w:val="0"/>
          <w:color w:val="222222"/>
          <w:sz w:val="21"/>
        </w:rPr>
        <w:t>where αᵢ are firm FEs, λₜ are year FEs, k ∈ {−4,−3,−2, 0,…,9} (k = −1 omitted as reference), and Xᵢₜ are time-varying controls. Standard errors are clustered at the firm level. Estimated with reghdfe.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Implementation note — explicit binary dummies</w:t>
      </w:r>
    </w:p>
    <w:p>
      <w:pPr>
        <w:spacing w:after="100" w:before="0"/>
      </w:pPr>
      <w:r>
        <w:rPr>
          <w:i w:val="0"/>
          <w:color w:val="222222"/>
          <w:sz w:val="21"/>
        </w:rPr>
        <w:t>Because reltime is missing for control firms, using Stata's factor-variable interaction syntax (ib(-1).reltime##i.treated_firm) would silently drop all control observations from the regression. The pipeline instead generates explicit binary dummies d_m4, d_m3, d_m2, d_p0 … d_p9 that are set to 0 for control observations. Controls therefore remain in the regression and contribute to the estimation of the fixed effects.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Pros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Simple, transparent, and widely used — referees and readers will be familiar with it.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Computationally fast; reghdfe handles large datasets efficiently.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Easy to include rich covariate controls and arbitrary FE structures.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The joint F-test on pre-treatment dummies is a standard and intuitive pre-trend test.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Cons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With staggered adoption, the TWFE estimator is a weighted average of all pairwise 2×2 DID comparisons. Some weights can be negative when treatment effects are heterogeneous across cohorts (Goodman-Bacon 2021). This means the estimator can be biased — even in the wrong direction.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Already-treated firms are used as implicit control units for later-treated cohorts, violating the clean-comparison requirement.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Gives a single pooled post-treatment average rather than cohort-specific effects.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4.2  Sun-Abraham (SA) — 02_sun_abraham.do</w:t>
      </w:r>
    </w:p>
    <w:p>
      <w:pPr>
        <w:spacing w:after="100" w:before="0"/>
      </w:pPr>
      <w:r>
        <w:rPr>
          <w:i w:val="0"/>
          <w:color w:val="222222"/>
          <w:sz w:val="21"/>
        </w:rPr>
        <w:t>Sun and Abraham (2021) show that the TWFE event-study estimator is a weighted average of cohort-specific average treatment effects (CATTs) with potentially negative weights. Their estimator instead computes CATTs separately for each cohort-time cell and then aggregates them using shares of each cohort in the sample — a procedure called interaction-weighted (IW) estimation.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Estimator</w:t>
      </w:r>
    </w:p>
    <w:p>
      <w:pPr>
        <w:spacing w:after="100" w:before="0"/>
      </w:pPr>
      <w:r>
        <w:rPr>
          <w:i w:val="0"/>
          <w:color w:val="222222"/>
          <w:sz w:val="21"/>
        </w:rPr>
        <w:t>The IW estimator runs a fully-saturated regression that interacts each event-time indicator with cohort dummies. The aggregate event-study coefficients are then formed as a weighted average of the cohort-specific coefficients, using cohort shares as weights. Implemented via eventstudyinteract (Stata).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Pros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Robust to heterogeneous treatment effects across cohorts — the aggregation weights are always non-negative.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Directly comparable to TWFE in event-study plot format; easy to read.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Provides a formal test of whether TWFE weights are problematic (compare SA coefficients to TWFE coefficients: large divergence signals heterogeneity).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Never-treated firms are the comparison group only, so no 'forbidden' comparisons.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Cons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Requires a sufficiently large never-treated group to serve as the clean comparison; not applicable if all units are eventually treated.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Efficiency loss compared to TWFE: more parameters are estimated (one per cohort × event-time cell), so standard errors are typically wider.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Pre-trend test has lower power than TWFE because of the larger model.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Cohort-specific estimates can be very noisy for small cohorts.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4.3  Callaway-Sant'Anna (CSDID) — 03_csdid.do</w:t>
      </w:r>
    </w:p>
    <w:p>
      <w:pPr>
        <w:spacing w:after="100" w:before="0"/>
      </w:pPr>
      <w:r>
        <w:rPr>
          <w:i w:val="0"/>
          <w:color w:val="222222"/>
          <w:sz w:val="21"/>
        </w:rPr>
        <w:t>Callaway and Sant'Anna (2021) propose a non-parametric DID estimator that targets cohort-time average treatment effects ATT(g, t) — the average effect on cohort g at time t — and then aggregates them in user-specified ways (by event time, by calendar time, or into a single overall ATT). The pipeline uses the doubly-robust IPW estimator (method(dripw)) which combines outcome-regression and propensity-score approaches; it is consistent if either component is correctly specified.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Aggregation</w:t>
      </w:r>
    </w:p>
    <w:p>
      <w:pPr>
        <w:spacing w:after="100" w:before="0"/>
      </w:pPr>
      <w:r>
        <w:rPr>
          <w:i w:val="0"/>
          <w:color w:val="222222"/>
          <w:sz w:val="21"/>
        </w:rPr>
        <w:t>estat event, window(-4 9) produces event-time aggregate ATTs — the average over cohorts of ATT(g, t−g = k) — which are directly comparable to the TWFE event-study coefficients.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Pros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Formally targets well-defined causal estimands (cohort-time ATTs).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Doubly-robust: consistent if either the propensity score model or the outcome model is correctly specified.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No negative-weight problem: aggregation is always over non-negative weights.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Allows flexible choice of comparison group: never-treated, not-yet-treated, or both.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Supports parallel-trends conditional on covariates (conditional DID).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Cons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Computationally intensive, especially with many cohorts or covariates.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Inference requires a large number of clusters for the cluster bootstrap to be reliable.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The doubly-robust estimator can behave poorly in finite samples when propensity scores are near 0 or 1 (extreme overlap violations).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G must be coded as 0 for never-treated (not missing) — a common source of errors when interfacing with other estimation packages.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The aggregation step (estat event) can produce label-parsing issues across csdid versions, requiring careful handling.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4.4  Borusyak-Jaravel-Spiess Imputation (BJS) — 04_did_imputation.do</w:t>
      </w:r>
    </w:p>
    <w:p>
      <w:pPr>
        <w:spacing w:after="100" w:before="0"/>
      </w:pPr>
      <w:r>
        <w:rPr>
          <w:i w:val="0"/>
          <w:color w:val="222222"/>
          <w:sz w:val="21"/>
        </w:rPr>
        <w:t>Borusyak, Jaravel, and Spiess (2021, 2024) propose an imputation estimator. In a first step, the counterfactual outcome under no treatment is estimated from the pre-treatment observations of all units and the full panel of never-treated units (using firm and year FEs plus controls). In a second step, the treatment effect for each treated observation is estimated as the residual relative to its imputed counterfactual. Event-study estimates are then formed by averaging these unit-level estimates within each event-time horizon.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Pros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Efficient: by exploiting pre-treatment data of all units for the counterfactual imputation, it achieves semiparametric efficiency.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Formally targets well-defined ATTs; no negative-weight problem.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Pre-trend test is a joint test of whether the pre-treatment imputation residuals are zero — a natural and powerful specification test.</w:t>
      </w:r>
    </w:p>
    <w:p>
      <w:pPr>
        <w:pStyle w:val="ListBullet"/>
        <w:spacing w:after="60"/>
        <w:ind w:left="360"/>
      </w:pPr>
      <w:r>
        <w:rPr>
          <w:color w:val="1A6B3C"/>
          <w:sz w:val="21"/>
        </w:rPr>
        <w:t>Provides heteroskedasticity-robust and cluster-robust inference as standard.</w:t>
      </w:r>
    </w:p>
    <w:p>
      <w:pPr>
        <w:pStyle w:val="Heading3"/>
        <w:spacing w:before="200" w:after="40"/>
      </w:pPr>
      <w:r>
        <w:rPr>
          <w:b/>
          <w:color w:val="222222"/>
          <w:sz w:val="22"/>
        </w:rPr>
        <w:t>Cons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Relies more heavily on the linear factor model for the counterfactual than non-parametric alternatives like CSDID.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Requires a sufficiently long pre-treatment period for the imputation to be well-identified.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The Stata package (did_imputation) is less mature than reghdfe and may have version-specific syntax differences.</w:t>
      </w:r>
    </w:p>
    <w:p>
      <w:pPr>
        <w:pStyle w:val="ListBullet"/>
        <w:spacing w:after="60"/>
        <w:ind w:left="360"/>
      </w:pPr>
      <w:r>
        <w:rPr>
          <w:color w:val="8B1A1A"/>
          <w:sz w:val="21"/>
        </w:rPr>
        <w:t>Output format varies across package versions; the pipeline therefore logs ereturn results rather than producing standardised Excel/graph output.</w:t>
      </w: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5. Diagnostic Tests — 05_extra_tests.do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5.1  Placebo-Shift Pre-Trend Test</w:t>
      </w:r>
    </w:p>
    <w:p>
      <w:pPr>
        <w:spacing w:after="100" w:before="0"/>
      </w:pPr>
      <w:r>
        <w:rPr>
          <w:i w:val="0"/>
          <w:color w:val="222222"/>
          <w:sz w:val="21"/>
        </w:rPr>
        <w:t>The acquisition year G is artificially shifted back by two years for all treated firms (G_pl = G − 2). The event study is then re-estimated using the placebo event time reltime_pl = t − G_pl. Under the null of parallel trends, the pre-treatment coefficients (t_pl = −4, −3, −2) of this shifted regression should be zero, because those periods correspond to real pre-treatment years. A significant joint test raises concern about the parallel-trends assumption.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5.2  Bacon Decomposition</w:t>
      </w:r>
    </w:p>
    <w:p>
      <w:pPr>
        <w:spacing w:after="100" w:before="0"/>
      </w:pPr>
      <w:r>
        <w:rPr>
          <w:i w:val="0"/>
          <w:color w:val="222222"/>
          <w:sz w:val="21"/>
        </w:rPr>
        <w:t>Goodman-Bacon (2021) shows that the TWFE DID coefficient is a weighted average of all pairwise 2×2 DID comparisons: early-treated vs. never-treated, late-treated vs. never-treated, and (problematically) late-treated vs. early-treated. The bacondecomp command decomposes the overall estimate into these components and reports their weights. A large weight on the 'already-treated vs. later-treated' comparisons signals that the TWFE estimate may be contaminated by negative-weighting bias.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5.3  Wild-Bootstrap Pre-Trend Test</w:t>
      </w:r>
    </w:p>
    <w:p>
      <w:pPr>
        <w:spacing w:after="100" w:before="0"/>
      </w:pPr>
      <w:r>
        <w:rPr>
          <w:i w:val="0"/>
          <w:color w:val="222222"/>
          <w:sz w:val="21"/>
        </w:rPr>
        <w:t>The standard cluster-robust F-test for pre-trends can be unreliable when the number of clusters is small. The wild cluster bootstrap (boottest, 999 replications, seed 12345) provides an alternative p-value that is more accurate in small-cluster settings. The joint null is H₀: d_m4 = d_m3 = d_m2 = 0.</w:t>
      </w: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6. Comparison Figure — 06_comparison_figure.do</w:t>
      </w:r>
    </w:p>
    <w:p>
      <w:pPr>
        <w:spacing w:after="100" w:before="0"/>
      </w:pPr>
      <w:r>
        <w:rPr>
          <w:i w:val="0"/>
          <w:color w:val="222222"/>
          <w:sz w:val="21"/>
        </w:rPr>
        <w:t>The coefficients from TWFE, Sun-Abraham, and CSDID are plotted on the same axes for the main outcome lnva_L. Each estimator is shown with its own 95% confidence band. Visual alignment of the three sets of coefficients provides an informal robustness check: if they diverge substantially in the post-treatment period this suggests treatment-effect heterogeneity is economically important and the TWFE estimate is unreliable.</w:t>
      </w: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7. HonestDiD Sensitivity Analysis — 07_honest_did.do</w:t>
      </w:r>
    </w:p>
    <w:p>
      <w:pPr>
        <w:spacing w:after="100" w:before="0"/>
      </w:pPr>
      <w:r>
        <w:rPr>
          <w:i w:val="0"/>
          <w:color w:val="222222"/>
          <w:sz w:val="21"/>
        </w:rPr>
        <w:t>Rambachan and Roth (2023) propose a method to characterise how sensitive the post-treatment estimates are to violations of the parallel-trends assumption. Rather than testing whether pre-trends are exactly zero, the method asks: if the parallel-trends assumption is violated by at most a certain amount, what is the resulting identified set for the treatment effect? Two types of restrictions are implemented.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7.1  Smoothness Restriction (delta = sd)</w:t>
      </w:r>
    </w:p>
    <w:p>
      <w:pPr>
        <w:spacing w:after="100" w:before="0"/>
      </w:pPr>
      <w:r>
        <w:rPr>
          <w:i w:val="0"/>
          <w:color w:val="222222"/>
          <w:sz w:val="21"/>
        </w:rPr>
        <w:t>The second difference of the counterfactual trend — a measure of how much the trend accelerates or decelerates — is bounded by M. M = 0 means exact linear trends (no curvature); larger M allows more deviation. The pipeline evaluates M ∈ {0, 0.5, 1.0, 1.5, 2.0}. The output plot shows the identified set for each post-treatment period as a function of M.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7.2  Relative Magnitudes (delta = rm)</w:t>
      </w:r>
    </w:p>
    <w:p>
      <w:pPr>
        <w:spacing w:after="100" w:before="0"/>
      </w:pPr>
      <w:r>
        <w:rPr>
          <w:i w:val="0"/>
          <w:color w:val="222222"/>
          <w:sz w:val="21"/>
        </w:rPr>
        <w:t>The maximum post-treatment violation of parallel trends is bounded by Mbar times the largest pre-treatment deviation observed. Mbar = 0 means the post-treatment violation cannot exceed the pre-treatment violation; Mbar = 1 allows it to be equal in magnitude. The pipeline evaluates Mbar ∈ {0, 0.25, 0.5, 0.75, 1.0}.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7.3  Implementation</w:t>
      </w:r>
    </w:p>
    <w:p>
      <w:pPr>
        <w:spacing w:after="100" w:before="0"/>
      </w:pPr>
      <w:r>
        <w:rPr>
          <w:i w:val="0"/>
          <w:color w:val="222222"/>
          <w:sz w:val="21"/>
        </w:rPr>
        <w:t>The TWFE is re-estimated with the same explicit dummy variables as in 01_twfe.do (d_m4, d_m3, d_m2, d_p0 … d_p9). The coefficient vector e(b)[1..13] and variance matrix e(V)[1..13, 1..13] are passed to honestdid. The coefplot option produces a sensitivity plot directly. Results are exported to Excel for further inspection.</w:t>
      </w: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8. Bugs Fixed Relative to Original Code</w:t>
      </w:r>
    </w:p>
    <w:p>
      <w:pPr>
        <w:spacing w:after="100" w:before="0"/>
      </w:pPr>
      <w:r>
        <w:rPr>
          <w:i w:val="0"/>
          <w:color w:val="222222"/>
          <w:sz w:val="21"/>
        </w:rPr>
        <w:t>The following bugs were identified during the code review and corrected in the modular version.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280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2280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2280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280"/>
          </w:tcPr>
          <w:p>
            <w:r>
              <w:t>1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All TWFE (01, 05, 07)</w:t>
            </w:r>
          </w:p>
        </w:tc>
        <w:tc>
          <w:tcPr>
            <w:tcW w:type="dxa" w:w="2280"/>
          </w:tcPr>
          <w:p>
            <w:r>
              <w:t>ib(-1).reltime##i.treated_firm silently drops all control observations because reltime = . for controls. Firm and year FEs estimated from treated units only.</w:t>
            </w:r>
          </w:p>
        </w:tc>
        <w:tc>
          <w:tcPr>
            <w:tcW w:type="dxa" w:w="2280"/>
          </w:tcPr>
          <w:p>
            <w:r>
              <w:t>Explicit binary dummies (d_m*, d_p*) set to 0 for controls. Controls remain in regression throughout.</w:t>
            </w:r>
          </w:p>
        </w:tc>
      </w:tr>
      <w:tr>
        <w:tc>
          <w:tcPr>
            <w:tcW w:type="dxa" w:w="2280"/>
          </w:tcPr>
          <w:p>
            <w:r>
              <w:t>2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02_sun_abraham</w:t>
            </w:r>
          </w:p>
        </w:tc>
        <w:tc>
          <w:tcPr>
            <w:tcW w:type="dxa" w:w="2280"/>
          </w:tcPr>
          <w:p>
            <w:r>
              <w:t>control_cohort(.) passes a literal period as a variable name — not portable across eventstudyinteract versions.</w:t>
            </w:r>
          </w:p>
        </w:tc>
        <w:tc>
          <w:tcPr>
            <w:tcW w:type="dxa" w:w="2280"/>
          </w:tcPr>
          <w:p>
            <w:r>
              <w:t>Generate never_treated = (G==.) and pass as control_cohort(never_treated).</w:t>
            </w:r>
          </w:p>
        </w:tc>
      </w:tr>
      <w:tr>
        <w:tc>
          <w:tcPr>
            <w:tcW w:type="dxa" w:w="2280"/>
          </w:tcPr>
          <w:p>
            <w:r>
              <w:t>3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03_csdid</w:t>
            </w:r>
          </w:p>
        </w:tc>
        <w:tc>
          <w:tcPr>
            <w:tcW w:type="dxa" w:w="2280"/>
          </w:tcPr>
          <w:p>
            <w:r>
              <w:t>G = . for controls, but csdid requires G = 0 for never-treated units.</w:t>
            </w:r>
          </w:p>
        </w:tc>
        <w:tc>
          <w:tcPr>
            <w:tcW w:type="dxa" w:w="2280"/>
          </w:tcPr>
          <w:p>
            <w:r>
              <w:t>Create G_cs = cond(G&lt;., G, 0) before csdid call.</w:t>
            </w:r>
          </w:p>
        </w:tc>
      </w:tr>
      <w:tr>
        <w:tc>
          <w:tcPr>
            <w:tcW w:type="dxa" w:w="2280"/>
          </w:tcPr>
          <w:p>
            <w:r>
              <w:t>4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03_csdid</w:t>
            </w:r>
          </w:p>
        </w:tc>
        <w:tc>
          <w:tcPr>
            <w:tcW w:type="dxa" w:w="2280"/>
          </w:tcPr>
          <w:p>
            <w:r>
              <w:t>local colnames : rownames r(table) returns statistic labels (b se t p ll ul …), not parameter names.</w:t>
            </w:r>
          </w:p>
        </w:tc>
        <w:tc>
          <w:tcPr>
            <w:tcW w:type="dxa" w:w="2280"/>
          </w:tcPr>
          <w:p>
            <w:r>
              <w:t>Changed to colnames r(table).</w:t>
            </w:r>
          </w:p>
        </w:tc>
      </w:tr>
      <w:tr>
        <w:tc>
          <w:tcPr>
            <w:tcW w:type="dxa" w:w="2280"/>
          </w:tcPr>
          <w:p>
            <w:r>
              <w:t>5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03_csdid</w:t>
            </w:r>
          </w:p>
        </w:tc>
        <w:tc>
          <w:tcPr>
            <w:tcW w:type="dxa" w:w="2280"/>
          </w:tcPr>
          <w:p>
            <w:r>
              <w:t>local val = real(regexs(1)) if regexm(…) — Stata's local command has no if qualifier; regexs(1) evaluated unconditionally.</w:t>
            </w:r>
          </w:p>
        </w:tc>
        <w:tc>
          <w:tcPr>
            <w:tcW w:type="dxa" w:w="2280"/>
          </w:tcPr>
          <w:p>
            <w:r>
              <w:t>Replaced with flow-control: if regexm(…) local val = real(regexs(1)).</w:t>
            </w:r>
          </w:p>
        </w:tc>
      </w:tr>
      <w:tr>
        <w:tc>
          <w:tcPr>
            <w:tcW w:type="dxa" w:w="2280"/>
          </w:tcPr>
          <w:p>
            <w:r>
              <w:t>6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04_did_imputation</w:t>
            </w:r>
          </w:p>
        </w:tc>
        <w:tc>
          <w:tcPr>
            <w:tcW w:type="dxa" w:w="2280"/>
          </w:tcPr>
          <w:p>
            <w:r>
              <w:t>G = . for controls; did_imputation documentation requires G = 0 for never-treated.</w:t>
            </w:r>
          </w:p>
        </w:tc>
        <w:tc>
          <w:tcPr>
            <w:tcW w:type="dxa" w:w="2280"/>
          </w:tcPr>
          <w:p>
            <w:r>
              <w:t>Create G_bjs = cond(G&lt;., G, 0) before did_imputation call.</w:t>
            </w:r>
          </w:p>
        </w:tc>
      </w:tr>
      <w:tr>
        <w:tc>
          <w:tcPr>
            <w:tcW w:type="dxa" w:w="2280"/>
          </w:tcPr>
          <w:p>
            <w:r>
              <w:t>7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04_did_imputation</w:t>
            </w:r>
          </w:p>
        </w:tc>
        <w:tc>
          <w:tcPr>
            <w:tcW w:type="dxa" w:w="2280"/>
          </w:tcPr>
          <w:p>
            <w:r>
              <w:t>pretrends(1/4) passes a numlist; pretrends() takes a single integer.</w:t>
            </w:r>
          </w:p>
        </w:tc>
        <w:tc>
          <w:tcPr>
            <w:tcW w:type="dxa" w:w="2280"/>
          </w:tcPr>
          <w:p>
            <w:r>
              <w:t>Changed to pretrends(4).</w:t>
            </w:r>
          </w:p>
        </w:tc>
      </w:tr>
      <w:tr>
        <w:tc>
          <w:tcPr>
            <w:tcW w:type="dxa" w:w="2280"/>
          </w:tcPr>
          <w:p>
            <w:r>
              <w:t>8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05_extra_tests</w:t>
            </w:r>
          </w:p>
        </w:tc>
        <w:tc>
          <w:tcPr>
            <w:tcW w:type="dxa" w:w="2280"/>
          </w:tcPr>
          <w:p>
            <w:r>
              <w:t>capture program drop gen_es_dummies missing; re-running the do-file errors because the program is already defined.</w:t>
            </w:r>
          </w:p>
        </w:tc>
        <w:tc>
          <w:tcPr>
            <w:tcW w:type="dxa" w:w="2280"/>
          </w:tcPr>
          <w:p>
            <w:r>
              <w:t>Added capture program drop gen_es_dummies before program definition.</w:t>
            </w:r>
          </w:p>
        </w:tc>
      </w:tr>
      <w:tr>
        <w:tc>
          <w:tcPr>
            <w:tcW w:type="dxa" w:w="2280"/>
          </w:tcPr>
          <w:p>
            <w:r>
              <w:t>9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Packages (00_prep)</w:t>
            </w:r>
          </w:p>
        </w:tc>
        <w:tc>
          <w:tcPr>
            <w:tcW w:type="dxa" w:w="2280"/>
          </w:tcPr>
          <w:p>
            <w:r>
              <w:t>coefplot not installed but required by honestdid, coefplot.</w:t>
            </w:r>
          </w:p>
        </w:tc>
        <w:tc>
          <w:tcPr>
            <w:tcW w:type="dxa" w:w="2280"/>
          </w:tcPr>
          <w:p>
            <w:r>
              <w:t>Added coefplot to the package installation loop.</w:t>
            </w:r>
          </w:p>
        </w:tc>
      </w:tr>
      <w:tr>
        <w:tc>
          <w:tcPr>
            <w:tcW w:type="dxa" w:w="2280"/>
          </w:tcPr>
          <w:p>
            <w:r>
              <w:t>10</w:t>
            </w:r>
          </w:p>
        </w:tc>
        <w:tc>
          <w:tcPr>
            <w:tcW w:type="dxa" w:w="2280"/>
            <w:shd w:val="clear" w:color="auto" w:fill="EEF2F7"/>
          </w:tcPr>
          <w:p>
            <w:r>
              <w:rPr>
                <w:rFonts w:ascii="Courier New" w:hAnsi="Courier New"/>
                <w:sz w:val="18"/>
              </w:rPr>
              <w:t>All modules</w:t>
            </w:r>
          </w:p>
        </w:tc>
        <w:tc>
          <w:tcPr>
            <w:tcW w:type="dxa" w:w="2280"/>
          </w:tcPr>
          <w:p>
            <w:r>
              <w:t>sflag_* defined as locals, invisible inside program define blocks and across do-file boundaries.</w:t>
            </w:r>
          </w:p>
        </w:tc>
        <w:tc>
          <w:tcPr>
            <w:tcW w:type="dxa" w:w="2280"/>
          </w:tcPr>
          <w:p>
            <w:r>
              <w:t>Promoted to globals $SFLAG_&lt;outcome&gt; in 00_prep.do.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1F3A5F"/>
          <w:sz w:val="36"/>
        </w:rPr>
        <w:t>9. Outputs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9.1  Excel Files  (Output\ModernDID\excel\)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TWFE_&lt;y&gt;_-4_9.xlsx</w:t>
      </w:r>
      <w:r>
        <w:rPr>
          <w:color w:val="222222"/>
          <w:sz w:val="21"/>
        </w:rPr>
        <w:t xml:space="preserve"> Columns: tid, b, lb, ub. One file per outcome.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SA_&lt;y&gt;_-4_9.xlsx</w:t>
      </w:r>
      <w:r>
        <w:rPr>
          <w:color w:val="222222"/>
          <w:sz w:val="21"/>
        </w:rPr>
        <w:t xml:space="preserve"> Columns: tid, b, lb, ub. One file per outcome.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CSDID_&lt;y&gt;_-4_9.xlsx</w:t>
      </w:r>
      <w:r>
        <w:rPr>
          <w:color w:val="222222"/>
          <w:sz w:val="21"/>
        </w:rPr>
        <w:t xml:space="preserve"> Columns: tid, b_cs, lb_cs, ub_cs. One file per outcome.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HonestDiD_M_&lt;y&gt;.xlsx</w:t>
      </w:r>
      <w:r>
        <w:rPr>
          <w:color w:val="222222"/>
          <w:sz w:val="21"/>
        </w:rPr>
        <w:t xml:space="preserve"> Smoothness sensitivity table from r(HonestEventStudy).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HonestDiD_RM_&lt;y&gt;.xlsx</w:t>
      </w:r>
      <w:r>
        <w:rPr>
          <w:color w:val="222222"/>
          <w:sz w:val="21"/>
        </w:rPr>
        <w:t xml:space="preserve"> Relative-magnitudes sensitivity table.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9.2  Graphs  (Output\ModernDID\graphs\)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TWFE_&lt;y&gt;_-4_9.png</w:t>
      </w:r>
      <w:r>
        <w:rPr>
          <w:color w:val="222222"/>
          <w:sz w:val="21"/>
        </w:rPr>
        <w:t xml:space="preserve"> Event-study plot (navy), 2400 px wide.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SA_&lt;y&gt;_-4_9.png</w:t>
      </w:r>
      <w:r>
        <w:rPr>
          <w:color w:val="222222"/>
          <w:sz w:val="21"/>
        </w:rPr>
        <w:t xml:space="preserve"> Event-study plot (dark navy), 2400 px wide.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CSDID_&lt;y&gt;_-4_9.png</w:t>
      </w:r>
      <w:r>
        <w:rPr>
          <w:color w:val="222222"/>
          <w:sz w:val="21"/>
        </w:rPr>
        <w:t xml:space="preserve"> Event-study plot (forest green), 2400 px wide.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COMPARE_lnva_L_-4_9.png</w:t>
      </w:r>
      <w:r>
        <w:rPr>
          <w:color w:val="222222"/>
          <w:sz w:val="21"/>
        </w:rPr>
        <w:t xml:space="preserve"> Overlay of TWFE + SA + CSDID for lnva_L, 2600 px wide.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HonestDiD_M_&lt;y&gt;.png</w:t>
      </w:r>
      <w:r>
        <w:rPr>
          <w:color w:val="222222"/>
          <w:sz w:val="21"/>
        </w:rPr>
        <w:t xml:space="preserve"> Sensitivity plot for smoothness restriction M.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HonestDiD_RM_&lt;y&gt;.png</w:t>
      </w:r>
      <w:r>
        <w:rPr>
          <w:color w:val="222222"/>
          <w:sz w:val="21"/>
        </w:rPr>
        <w:t xml:space="preserve"> Sensitivity plot for relative magnitudes Mbar.</w:t>
      </w:r>
    </w:p>
    <w:p>
      <w:pPr>
        <w:pStyle w:val="Heading2"/>
        <w:spacing w:before="240" w:after="80"/>
      </w:pPr>
      <w:r>
        <w:rPr>
          <w:b/>
          <w:color w:val="1F3A5F"/>
          <w:sz w:val="26"/>
        </w:rPr>
        <w:t>9.3  Logs  (Output\ModernDID\logs\)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sanity_flags.log</w:t>
      </w:r>
      <w:r>
        <w:rPr>
          <w:color w:val="222222"/>
          <w:sz w:val="21"/>
        </w:rPr>
        <w:t xml:space="preserve"> Tabulations of all seven data-quality checks.</w:t>
      </w:r>
    </w:p>
    <w:p>
      <w:pPr>
        <w:pStyle w:val="ListBullet"/>
        <w:spacing w:after="60"/>
        <w:ind w:left="360"/>
      </w:pPr>
      <w:r>
        <w:rPr>
          <w:b/>
          <w:color w:val="222222"/>
          <w:sz w:val="21"/>
        </w:rPr>
        <w:t>did_imputation_-4_9.log</w:t>
      </w:r>
      <w:r>
        <w:rPr>
          <w:color w:val="222222"/>
          <w:sz w:val="21"/>
        </w:rPr>
        <w:t xml:space="preserve"> Full ereturn output from did_imputation for all outcomes.</w:t>
      </w:r>
    </w:p>
    <w:p>
      <w:pPr>
        <w:pStyle w:val="Heading1"/>
        <w:spacing w:before="360" w:after="120"/>
      </w:pPr>
      <w:r>
        <w:rPr>
          <w:b/>
          <w:color w:val="1F3A5F"/>
          <w:sz w:val="36"/>
        </w:rPr>
        <w:t>10. References</w:t>
      </w:r>
    </w:p>
    <w:p>
      <w:pPr>
        <w:pStyle w:val="ListBullet"/>
        <w:spacing w:after="80"/>
      </w:pPr>
      <w:r>
        <w:rPr>
          <w:color w:val="222222"/>
          <w:sz w:val="20"/>
        </w:rPr>
        <w:t>Borusyak, K., Jaravel, X., &amp; Spiess, J. (2024). Revisiting event-study designs: Robust and efficient estimation. Review of Economic Studies, rdae007.</w:t>
      </w:r>
    </w:p>
    <w:p>
      <w:pPr>
        <w:pStyle w:val="ListBullet"/>
        <w:spacing w:after="80"/>
      </w:pPr>
      <w:r>
        <w:rPr>
          <w:color w:val="222222"/>
          <w:sz w:val="20"/>
        </w:rPr>
        <w:t>Callaway, B., &amp; Sant'Anna, P. H. C. (2021). Difference-in-differences with multiple time periods. Journal of Econometrics, 225(2), 200–230.</w:t>
      </w:r>
    </w:p>
    <w:p>
      <w:pPr>
        <w:pStyle w:val="ListBullet"/>
        <w:spacing w:after="80"/>
      </w:pPr>
      <w:r>
        <w:rPr>
          <w:color w:val="222222"/>
          <w:sz w:val="20"/>
        </w:rPr>
        <w:t>Goodman-Bacon, A. (2021). Difference-in-differences with variation in treatment timing. Journal of Econometrics, 225(2), 254–277.</w:t>
      </w:r>
    </w:p>
    <w:p>
      <w:pPr>
        <w:pStyle w:val="ListBullet"/>
        <w:spacing w:after="80"/>
      </w:pPr>
      <w:r>
        <w:rPr>
          <w:color w:val="222222"/>
          <w:sz w:val="20"/>
        </w:rPr>
        <w:t>Rambachan, A., &amp; Roth, J. (2023). A more credible approach to parallel trends. Review of Economic Studies, 90(5), 2555–2591.</w:t>
      </w:r>
    </w:p>
    <w:p>
      <w:pPr>
        <w:pStyle w:val="ListBullet"/>
        <w:spacing w:after="80"/>
      </w:pPr>
      <w:r>
        <w:rPr>
          <w:color w:val="222222"/>
          <w:sz w:val="20"/>
        </w:rPr>
        <w:t>Sun, L., &amp; Abraham, S. (2021). Estimating dynamic treatment effects in event studies with heterogeneous treatment effects. Journal of Econometrics, 225(2), 175–199.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