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bookmarkStart w:id="0" w:name="_GoBack"/>
      <w:bookmarkEnd w:id="0"/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33E3C88A" w14:textId="27A74E84" w:rsidR="0035199A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39DCA54B" w:rsidR="00631411" w:rsidRDefault="00631411" w:rsidP="00FF078C">
      <w:r>
        <w:rPr>
          <w:rFonts w:hint="eastAsia"/>
        </w:rPr>
        <w:tab/>
        <w:t>reflection</w:t>
      </w:r>
      <w:r w:rsidRPr="00AB37A9">
        <w:t xml:space="preserve"> [rɪˈflekʃn]</w:t>
      </w:r>
      <w:r>
        <w:rPr>
          <w:rFonts w:hint="eastAsia"/>
        </w:rPr>
        <w:t>映像</w:t>
      </w:r>
      <w:r>
        <w:rPr>
          <w:rFonts w:hint="eastAsia"/>
        </w:rPr>
        <w:t>/</w:t>
      </w:r>
      <w:r>
        <w:rPr>
          <w:rFonts w:hint="eastAsia"/>
        </w:rPr>
        <w:t>反映</w:t>
      </w:r>
      <w:r>
        <w:rPr>
          <w:rFonts w:hint="eastAsia"/>
        </w:rPr>
        <w:t>/</w:t>
      </w:r>
      <w:r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lastRenderedPageBreak/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7062CBF2" w14:textId="034F8131" w:rsidR="00111CC8" w:rsidRDefault="00AB57FB" w:rsidP="0091479D">
      <w:r>
        <w:rPr>
          <w:rFonts w:hint="eastAsia"/>
        </w:rP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lastRenderedPageBreak/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lastRenderedPageBreak/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327E6B92" w14:textId="25026B35" w:rsidR="007F45FC" w:rsidRDefault="00A534FE" w:rsidP="00411B45">
      <w:r>
        <w:rPr>
          <w:rFonts w:hint="eastAsia"/>
        </w:rP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054D9C1D" w14:textId="5195FCB5" w:rsidR="00DB41A1" w:rsidRDefault="0051564A" w:rsidP="00DB41A1">
      <w:r>
        <w:rPr>
          <w:rFonts w:hint="eastAsia"/>
        </w:rP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lastRenderedPageBreak/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0588" w14:textId="77777777" w:rsidR="009574FF" w:rsidRDefault="009574FF" w:rsidP="004A20C6">
      <w:r>
        <w:separator/>
      </w:r>
    </w:p>
  </w:endnote>
  <w:endnote w:type="continuationSeparator" w:id="0">
    <w:p w14:paraId="19AA3B03" w14:textId="77777777" w:rsidR="009574FF" w:rsidRDefault="009574F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FA9B8" w14:textId="77777777" w:rsidR="009574FF" w:rsidRDefault="009574FF" w:rsidP="004A20C6">
      <w:r>
        <w:separator/>
      </w:r>
    </w:p>
  </w:footnote>
  <w:footnote w:type="continuationSeparator" w:id="0">
    <w:p w14:paraId="2DA2FC63" w14:textId="77777777" w:rsidR="009574FF" w:rsidRDefault="009574F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6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12861</cp:revision>
  <dcterms:created xsi:type="dcterms:W3CDTF">2016-04-21T06:50:00Z</dcterms:created>
  <dcterms:modified xsi:type="dcterms:W3CDTF">2018-05-07T12:42:00Z</dcterms:modified>
</cp:coreProperties>
</file>