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lastRenderedPageBreak/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1A4EAA8A" w14:textId="39BDF08D" w:rsidR="00DE6DB3" w:rsidRPr="008B6E05" w:rsidRDefault="00E41874" w:rsidP="00DE6DB3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38910904" w14:textId="4BF0ECF8" w:rsidR="008B6E05" w:rsidRPr="008B6E05" w:rsidRDefault="006F3B8B" w:rsidP="00A21875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1B55B9">
        <w:rPr>
          <w:rFonts w:hint="eastAsia"/>
          <w:color w:val="4BACC6" w:themeColor="accent5"/>
        </w:rPr>
        <w:t>插座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lastRenderedPageBreak/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bookmarkStart w:id="0" w:name="_GoBack"/>
      <w:r w:rsidR="00606792" w:rsidRPr="00606792">
        <w:rPr>
          <w:rFonts w:hint="eastAsia"/>
          <w:color w:val="4BACC6" w:themeColor="accent5"/>
        </w:rPr>
        <w:t>百叶窗</w:t>
      </w:r>
      <w:bookmarkEnd w:id="0"/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C732E" w14:textId="77777777" w:rsidR="004F0E44" w:rsidRDefault="004F0E44" w:rsidP="004A20C6">
      <w:r>
        <w:separator/>
      </w:r>
    </w:p>
  </w:endnote>
  <w:endnote w:type="continuationSeparator" w:id="0">
    <w:p w14:paraId="5F3B71B7" w14:textId="77777777" w:rsidR="004F0E44" w:rsidRDefault="004F0E4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29E34" w14:textId="77777777" w:rsidR="004F0E44" w:rsidRDefault="004F0E44" w:rsidP="004A20C6">
      <w:r>
        <w:separator/>
      </w:r>
    </w:p>
  </w:footnote>
  <w:footnote w:type="continuationSeparator" w:id="0">
    <w:p w14:paraId="1DCAA540" w14:textId="77777777" w:rsidR="004F0E44" w:rsidRDefault="004F0E4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7097</cp:revision>
  <dcterms:created xsi:type="dcterms:W3CDTF">2016-04-21T06:50:00Z</dcterms:created>
  <dcterms:modified xsi:type="dcterms:W3CDTF">2018-06-10T13:24:00Z</dcterms:modified>
</cp:coreProperties>
</file>