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0B3377B8" w14:textId="43A72C2D" w:rsidR="00E82F06" w:rsidRDefault="00463231" w:rsidP="005B5AA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lastRenderedPageBreak/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lastRenderedPageBreak/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lastRenderedPageBreak/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lastRenderedPageBreak/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lastRenderedPageBreak/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lastRenderedPageBreak/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lastRenderedPageBreak/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lastRenderedPageBreak/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lastRenderedPageBreak/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lastRenderedPageBreak/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lastRenderedPageBreak/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lastRenderedPageBreak/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lastRenderedPageBreak/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lastRenderedPageBreak/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pPr>
        <w:rPr>
          <w:rFonts w:hint="eastAsia"/>
        </w:rPr>
      </w:pPr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lastRenderedPageBreak/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lastRenderedPageBreak/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lastRenderedPageBreak/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bookmarkStart w:id="0" w:name="_GoBack"/>
      <w:r w:rsidR="00277BEE" w:rsidRPr="00277BEE">
        <w:rPr>
          <w:color w:val="F79646" w:themeColor="accent6"/>
        </w:rPr>
        <w:t>#vt</w:t>
      </w:r>
      <w:bookmarkEnd w:id="0"/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87022" w14:textId="77777777" w:rsidR="00982D61" w:rsidRDefault="00982D61" w:rsidP="004A20C6">
      <w:r>
        <w:separator/>
      </w:r>
    </w:p>
  </w:endnote>
  <w:endnote w:type="continuationSeparator" w:id="0">
    <w:p w14:paraId="7164EEAA" w14:textId="77777777" w:rsidR="00982D61" w:rsidRDefault="00982D6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C80A8" w14:textId="77777777" w:rsidR="00982D61" w:rsidRDefault="00982D61" w:rsidP="004A20C6">
      <w:r>
        <w:separator/>
      </w:r>
    </w:p>
  </w:footnote>
  <w:footnote w:type="continuationSeparator" w:id="0">
    <w:p w14:paraId="356F5886" w14:textId="77777777" w:rsidR="00982D61" w:rsidRDefault="00982D6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14817</TotalTime>
  <Pages>21</Pages>
  <Words>4567</Words>
  <Characters>26036</Characters>
  <Application>Microsoft Office Word</Application>
  <DocSecurity>0</DocSecurity>
  <Lines>216</Lines>
  <Paragraphs>61</Paragraphs>
  <ScaleCrop>false</ScaleCrop>
  <Company/>
  <LinksUpToDate>false</LinksUpToDate>
  <CharactersWithSpaces>30542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25864</cp:revision>
  <dcterms:created xsi:type="dcterms:W3CDTF">2016-04-21T06:50:00Z</dcterms:created>
  <dcterms:modified xsi:type="dcterms:W3CDTF">2018-05-28T13:53:00Z</dcterms:modified>
</cp:coreProperties>
</file>