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2259864C" w14:textId="0AA33E83" w:rsidR="00557810" w:rsidRDefault="006A36F2" w:rsidP="002447D8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5E04FAA8" w14:textId="27EF0660" w:rsidR="007E0A68" w:rsidRDefault="00912B68" w:rsidP="001D0336">
      <w:r>
        <w:rPr>
          <w:rFonts w:hint="eastAsia"/>
        </w:rPr>
        <w:lastRenderedPageBreak/>
        <w:tab/>
      </w:r>
      <w:r w:rsidR="007E0A68">
        <w:rPr>
          <w:rFonts w:hint="eastAsia"/>
        </w:rPr>
        <w:t>su</w:t>
      </w:r>
      <w:r w:rsidR="007E0A68">
        <w:t>pervise</w:t>
      </w:r>
      <w:r w:rsidR="007E0A68" w:rsidRPr="007E0A68">
        <w:t xml:space="preserve"> [ˈsu:pəvaɪz]</w:t>
      </w:r>
      <w:r w:rsidR="00727EE5" w:rsidRPr="00A6178C">
        <w:rPr>
          <w:color w:val="F79646" w:themeColor="accent6"/>
        </w:rPr>
        <w:t>#vt</w:t>
      </w:r>
      <w:r w:rsidR="00727EE5">
        <w:rPr>
          <w:rFonts w:hint="eastAsia"/>
        </w:rPr>
        <w:t>监管</w:t>
      </w:r>
    </w:p>
    <w:p w14:paraId="34DDBB5E" w14:textId="5C88F215" w:rsidR="009C4094" w:rsidRDefault="007E0A68" w:rsidP="001D0336">
      <w:r>
        <w:tab/>
      </w:r>
      <w:r w:rsidR="009C4094">
        <w:rPr>
          <w:rFonts w:hint="eastAsia"/>
        </w:rPr>
        <w:t>su</w:t>
      </w:r>
      <w:r w:rsidR="009C4094">
        <w:t>ppress</w:t>
      </w:r>
      <w:r w:rsidR="009C4094" w:rsidRPr="009C4094">
        <w:t xml:space="preserve"> [səˈpres]</w:t>
      </w:r>
      <w:r w:rsidR="009C4094" w:rsidRPr="00FA32FE">
        <w:rPr>
          <w:color w:val="F79646" w:themeColor="accent6"/>
        </w:rPr>
        <w:t>#vt</w:t>
      </w:r>
      <w:r w:rsidR="009C4094" w:rsidRPr="009361D8">
        <w:rPr>
          <w:rFonts w:hint="eastAsia"/>
          <w:color w:val="4BACC6" w:themeColor="accent5"/>
        </w:rPr>
        <w:t>镇压</w:t>
      </w:r>
      <w:r w:rsidR="009C4094">
        <w:rPr>
          <w:rFonts w:hint="eastAsia"/>
        </w:rPr>
        <w:t>/</w:t>
      </w:r>
      <w:r w:rsidR="00FA32FE">
        <w:rPr>
          <w:rFonts w:hint="eastAsia"/>
        </w:rPr>
        <w:t>抑制</w:t>
      </w:r>
    </w:p>
    <w:p w14:paraId="326081C6" w14:textId="2BA83816" w:rsidR="00B43280" w:rsidRDefault="009C4094" w:rsidP="001D0336">
      <w: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A8C199A" w14:textId="2DE153D1" w:rsidR="00EF61F0" w:rsidRDefault="00661291" w:rsidP="001D0336">
      <w:r>
        <w:rPr>
          <w:rFonts w:hint="eastAsia"/>
        </w:rPr>
        <w:tab/>
      </w:r>
      <w:r w:rsidR="00EF61F0">
        <w:rPr>
          <w:rFonts w:hint="eastAsia"/>
        </w:rPr>
        <w:t>sue</w:t>
      </w:r>
      <w:r w:rsidR="00EF61F0" w:rsidRPr="00557810">
        <w:t xml:space="preserve"> [su:]</w:t>
      </w:r>
      <w:r w:rsidR="00EF61F0" w:rsidRPr="00EF61F0">
        <w:rPr>
          <w:color w:val="F79646" w:themeColor="accent6"/>
        </w:rPr>
        <w:t>#</w:t>
      </w:r>
      <w:r w:rsidR="00EF61F0" w:rsidRPr="00EF61F0">
        <w:rPr>
          <w:rFonts w:hint="eastAsia"/>
          <w:color w:val="F79646" w:themeColor="accent6"/>
        </w:rPr>
        <w:t>vt</w:t>
      </w:r>
      <w:r w:rsidR="00EF61F0">
        <w:rPr>
          <w:rFonts w:hint="eastAsia"/>
        </w:rPr>
        <w:t>控告</w:t>
      </w:r>
    </w:p>
    <w:p w14:paraId="1F06E4B9" w14:textId="4259409F" w:rsidR="005F2AEE" w:rsidRDefault="00EF61F0" w:rsidP="001D0336">
      <w:r>
        <w:tab/>
      </w:r>
      <w:r w:rsidR="005F2AEE">
        <w:t>test</w:t>
      </w:r>
      <w:r w:rsidR="005F2AEE">
        <w:rPr>
          <w:rFonts w:hint="eastAsia"/>
        </w:rPr>
        <w:t>ify</w:t>
      </w:r>
      <w:r w:rsidR="005F2AEE" w:rsidRPr="005F2AEE">
        <w:t xml:space="preserve"> [ˈtestɪfaɪ]</w:t>
      </w:r>
      <w:r w:rsidR="005F2AEE" w:rsidRPr="005F2AEE">
        <w:rPr>
          <w:color w:val="F79646" w:themeColor="accent6"/>
        </w:rPr>
        <w:t>#vt</w:t>
      </w:r>
      <w:r w:rsidR="005F2AEE">
        <w:rPr>
          <w:rFonts w:hint="eastAsia"/>
        </w:rPr>
        <w:t>为</w:t>
      </w:r>
      <w:r w:rsidR="005F2AEE">
        <w:rPr>
          <w:rFonts w:hint="eastAsia"/>
        </w:rPr>
        <w:t>..</w:t>
      </w:r>
      <w:r w:rsidR="005F2AEE">
        <w:t>.</w:t>
      </w:r>
      <w:r w:rsidR="005F2AEE">
        <w:rPr>
          <w:rFonts w:hint="eastAsia"/>
        </w:rPr>
        <w:t>作证</w:t>
      </w:r>
      <w:r w:rsidR="005F2AEE" w:rsidRPr="005F2AEE">
        <w:rPr>
          <w:rFonts w:hint="eastAsia"/>
          <w:color w:val="F79646" w:themeColor="accent6"/>
        </w:rPr>
        <w:t>#vi</w:t>
      </w:r>
      <w:r w:rsidR="005F2AEE">
        <w:rPr>
          <w:rFonts w:hint="eastAsia"/>
        </w:rPr>
        <w:t>作证</w:t>
      </w:r>
    </w:p>
    <w:p w14:paraId="0FB72897" w14:textId="099DD41A" w:rsidR="004705AF" w:rsidRPr="00F8765E" w:rsidRDefault="005F2AEE" w:rsidP="001D0336">
      <w: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lastRenderedPageBreak/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lastRenderedPageBreak/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5A478753" w14:textId="70312B5E" w:rsidR="00110E25" w:rsidRDefault="00BE0197" w:rsidP="00AC477F">
      <w:r>
        <w:rPr>
          <w:rFonts w:hint="eastAsia"/>
        </w:rPr>
        <w:tab/>
      </w:r>
      <w:r w:rsidR="00110E25" w:rsidRPr="009E51CD">
        <w:t>subscribe</w:t>
      </w:r>
      <w:r w:rsidR="00110E25" w:rsidRPr="00F91348">
        <w:t xml:space="preserve"> [səbˈskraɪb]</w:t>
      </w:r>
      <w:r w:rsidR="00110E25" w:rsidRPr="00BE0B13">
        <w:rPr>
          <w:color w:val="F79646" w:themeColor="accent6"/>
        </w:rPr>
        <w:t>#</w:t>
      </w:r>
      <w:r w:rsidR="00110E25" w:rsidRPr="00BE0B13">
        <w:rPr>
          <w:rFonts w:hint="eastAsia"/>
          <w:color w:val="F79646" w:themeColor="accent6"/>
        </w:rPr>
        <w:t>v</w:t>
      </w:r>
      <w:r w:rsidR="00110E25" w:rsidRPr="00BE0B13">
        <w:rPr>
          <w:color w:val="F79646" w:themeColor="accent6"/>
        </w:rPr>
        <w:t>i</w:t>
      </w:r>
      <w:r w:rsidR="00110E25">
        <w:rPr>
          <w:rFonts w:hint="eastAsia"/>
        </w:rPr>
        <w:t>订购</w:t>
      </w:r>
      <w:r w:rsidR="00110E25">
        <w:rPr>
          <w:rFonts w:hint="eastAsia"/>
        </w:rPr>
        <w:t>(for)/</w:t>
      </w:r>
      <w:r w:rsidR="00110E25" w:rsidRPr="00110E25">
        <w:rPr>
          <w:rFonts w:hint="eastAsia"/>
          <w:color w:val="4BACC6" w:themeColor="accent5"/>
        </w:rPr>
        <w:t>捐助</w:t>
      </w:r>
      <w:r w:rsidR="00110E25" w:rsidRPr="00110E25">
        <w:rPr>
          <w:rFonts w:hint="eastAsia"/>
          <w:color w:val="4BACC6" w:themeColor="accent5"/>
        </w:rPr>
        <w:t>(</w:t>
      </w:r>
      <w:r w:rsidR="00110E25" w:rsidRPr="00110E25">
        <w:rPr>
          <w:color w:val="4BACC6" w:themeColor="accent5"/>
        </w:rPr>
        <w:t>to</w:t>
      </w:r>
      <w:r w:rsidR="00110E25" w:rsidRPr="00110E25">
        <w:rPr>
          <w:rFonts w:hint="eastAsia"/>
          <w:color w:val="4BACC6" w:themeColor="accent5"/>
        </w:rPr>
        <w:t>)</w:t>
      </w:r>
      <w:r w:rsidR="00110E25">
        <w:rPr>
          <w:rFonts w:hint="eastAsia"/>
        </w:rPr>
        <w:t>/</w:t>
      </w:r>
      <w:r w:rsidR="00110E25">
        <w:rPr>
          <w:rFonts w:hint="eastAsia"/>
        </w:rPr>
        <w:t>赞同</w:t>
      </w:r>
      <w:r w:rsidR="00110E25">
        <w:rPr>
          <w:rFonts w:hint="eastAsia"/>
        </w:rPr>
        <w:t>(to)</w:t>
      </w:r>
    </w:p>
    <w:p w14:paraId="3BF8EC99" w14:textId="1F2BD904" w:rsidR="00BE0197" w:rsidRDefault="00110E25" w:rsidP="00AC477F">
      <w:r>
        <w:tab/>
      </w:r>
      <w:r w:rsidR="00BE0197">
        <w:rPr>
          <w:rFonts w:hint="eastAsia"/>
        </w:rPr>
        <w:t>uncover</w:t>
      </w:r>
      <w:r w:rsidR="00BE0197" w:rsidRPr="00253259">
        <w:t xml:space="preserve"> [ʌnˈkʌvə</w:t>
      </w:r>
      <w:r w:rsidR="00BE0197">
        <w:t>r</w:t>
      </w:r>
      <w:r w:rsidR="00BE0197" w:rsidRPr="00253259">
        <w:t>]</w:t>
      </w:r>
      <w:r w:rsidR="00BE0197" w:rsidRPr="00F7342A">
        <w:rPr>
          <w:rFonts w:hint="eastAsia"/>
          <w:color w:val="F79646" w:themeColor="accent6"/>
        </w:rPr>
        <w:t>#vt</w:t>
      </w:r>
      <w:r w:rsidR="00BE0197">
        <w:rPr>
          <w:rFonts w:hint="eastAsia"/>
        </w:rPr>
        <w:t>揭开</w:t>
      </w:r>
      <w:r w:rsidR="00BE0197">
        <w:rPr>
          <w:rFonts w:hint="eastAsia"/>
        </w:rPr>
        <w:t>(</w:t>
      </w:r>
      <w:r w:rsidR="00BE0197">
        <w:rPr>
          <w:rFonts w:hint="eastAsia"/>
        </w:rPr>
        <w:t>物</w:t>
      </w:r>
      <w:r w:rsidR="00BE0197">
        <w:rPr>
          <w:rFonts w:hint="eastAsia"/>
        </w:rPr>
        <w:t>)/</w:t>
      </w:r>
      <w:r w:rsidR="00BE0197" w:rsidRPr="00BE0197">
        <w:rPr>
          <w:rFonts w:hint="eastAsia"/>
          <w:color w:val="4BACC6" w:themeColor="accent5"/>
        </w:rPr>
        <w:t>揭露</w:t>
      </w:r>
      <w:r w:rsidR="00BE0197" w:rsidRPr="00BE0197">
        <w:rPr>
          <w:rFonts w:hint="eastAsia"/>
          <w:color w:val="4BACC6" w:themeColor="accent5"/>
        </w:rPr>
        <w:t>(</w:t>
      </w:r>
      <w:r w:rsidR="00BE0197" w:rsidRPr="00BE0197">
        <w:rPr>
          <w:rFonts w:hint="eastAsia"/>
          <w:color w:val="4BACC6" w:themeColor="accent5"/>
        </w:rPr>
        <w:t>事</w:t>
      </w:r>
      <w:r w:rsidR="00BE0197"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lastRenderedPageBreak/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lastRenderedPageBreak/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lastRenderedPageBreak/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lastRenderedPageBreak/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lastRenderedPageBreak/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0038D0F3" w14:textId="4D9D4C16" w:rsidR="009E51CD" w:rsidRDefault="005B43E7" w:rsidP="00D337FF">
      <w:r>
        <w:tab/>
      </w:r>
      <w:r w:rsidR="009E51CD" w:rsidRPr="009E51CD">
        <w:t>subscribe</w:t>
      </w:r>
      <w:r w:rsidR="00F91348" w:rsidRPr="00F91348">
        <w:t xml:space="preserve"> [səbˈskraɪb]</w:t>
      </w:r>
      <w:r w:rsidR="00BA523F" w:rsidRPr="00BE0B13">
        <w:rPr>
          <w:color w:val="F79646" w:themeColor="accent6"/>
        </w:rPr>
        <w:t>#</w:t>
      </w:r>
      <w:r w:rsidR="00BA523F" w:rsidRPr="00BE0B13">
        <w:rPr>
          <w:rFonts w:hint="eastAsia"/>
          <w:color w:val="F79646" w:themeColor="accent6"/>
        </w:rPr>
        <w:t>v</w:t>
      </w:r>
      <w:r w:rsidR="00BA523F" w:rsidRPr="00BE0B13">
        <w:rPr>
          <w:color w:val="F79646" w:themeColor="accent6"/>
        </w:rPr>
        <w:t>i</w:t>
      </w:r>
      <w:r w:rsidR="00802EB1" w:rsidRPr="006F6B44">
        <w:rPr>
          <w:rFonts w:hint="eastAsia"/>
          <w:color w:val="4BACC6" w:themeColor="accent5"/>
        </w:rPr>
        <w:t>订购</w:t>
      </w:r>
      <w:r w:rsidR="009C2155" w:rsidRPr="006F6B44">
        <w:rPr>
          <w:rFonts w:hint="eastAsia"/>
          <w:color w:val="4BACC6" w:themeColor="accent5"/>
        </w:rPr>
        <w:t>(for)</w:t>
      </w:r>
      <w:r w:rsidR="00802EB1">
        <w:rPr>
          <w:rFonts w:hint="eastAsia"/>
        </w:rPr>
        <w:t>/</w:t>
      </w:r>
      <w:r w:rsidR="0048391D">
        <w:rPr>
          <w:rFonts w:hint="eastAsia"/>
        </w:rPr>
        <w:t>捐助</w:t>
      </w:r>
      <w:r w:rsidR="009C2155">
        <w:rPr>
          <w:rFonts w:hint="eastAsia"/>
        </w:rPr>
        <w:t>(</w:t>
      </w:r>
      <w:r w:rsidR="009C2155">
        <w:t>to</w:t>
      </w:r>
      <w:r w:rsidR="009C2155">
        <w:rPr>
          <w:rFonts w:hint="eastAsia"/>
        </w:rPr>
        <w:t>)</w:t>
      </w:r>
      <w:r w:rsidR="00062977">
        <w:rPr>
          <w:rFonts w:hint="eastAsia"/>
        </w:rPr>
        <w:t>/</w:t>
      </w:r>
      <w:r w:rsidR="00062977">
        <w:rPr>
          <w:rFonts w:hint="eastAsia"/>
        </w:rPr>
        <w:t>赞同</w:t>
      </w:r>
      <w:r w:rsidR="00D34B66">
        <w:rPr>
          <w:rFonts w:hint="eastAsia"/>
        </w:rPr>
        <w:t>(to)</w:t>
      </w:r>
    </w:p>
    <w:p w14:paraId="6D82C491" w14:textId="16CD9C05" w:rsidR="00D337FF" w:rsidRDefault="009E51CD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lastRenderedPageBreak/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lastRenderedPageBreak/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5688EC49" w14:textId="0FCCAAFA" w:rsidR="008E2C57" w:rsidRDefault="00712ED0" w:rsidP="004E28D8">
      <w:r>
        <w:rPr>
          <w:rFonts w:hint="eastAsia"/>
        </w:rPr>
        <w:tab/>
      </w:r>
      <w:r w:rsidR="008E2C57">
        <w:rPr>
          <w:rFonts w:hint="eastAsia"/>
        </w:rPr>
        <w:t>su</w:t>
      </w:r>
      <w:r w:rsidR="008E2C57">
        <w:t>mmon</w:t>
      </w:r>
      <w:r w:rsidR="008E2C57" w:rsidRPr="008E2C57">
        <w:t xml:space="preserve"> [ˈsʌmən]</w:t>
      </w:r>
      <w:r w:rsidR="00114728" w:rsidRPr="00104FD4">
        <w:rPr>
          <w:color w:val="F79646" w:themeColor="accent6"/>
        </w:rPr>
        <w:t>#vt</w:t>
      </w:r>
      <w:r w:rsidR="00114728">
        <w:rPr>
          <w:rFonts w:hint="eastAsia"/>
        </w:rPr>
        <w:t>召唤</w:t>
      </w:r>
      <w:r w:rsidR="00CC1601">
        <w:rPr>
          <w:rFonts w:hint="eastAsia"/>
        </w:rPr>
        <w:t>(</w:t>
      </w:r>
      <w:r w:rsidR="00CC1601">
        <w:rPr>
          <w:rFonts w:hint="eastAsia"/>
        </w:rPr>
        <w:t>人</w:t>
      </w:r>
      <w:r w:rsidR="00CC1601">
        <w:rPr>
          <w:rFonts w:hint="eastAsia"/>
        </w:rPr>
        <w:t>)</w:t>
      </w:r>
    </w:p>
    <w:p w14:paraId="3A14574E" w14:textId="1952683F" w:rsidR="00274BFB" w:rsidRPr="00274BFB" w:rsidRDefault="008E2C57" w:rsidP="004E28D8">
      <w: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lastRenderedPageBreak/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lastRenderedPageBreak/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0D92DEA2" w14:textId="4A68E067" w:rsidR="008A3036" w:rsidRDefault="00DF183E" w:rsidP="00514DE3">
      <w:r>
        <w:rPr>
          <w:rFonts w:hint="eastAsia"/>
        </w:rPr>
        <w:tab/>
      </w:r>
      <w:r w:rsidR="008A3036">
        <w:rPr>
          <w:rFonts w:hint="eastAsia"/>
        </w:rPr>
        <w:t>suck</w:t>
      </w:r>
      <w:r w:rsidR="008A3036" w:rsidRPr="00D61CC8">
        <w:t xml:space="preserve"> [sʌk]</w:t>
      </w:r>
      <w:r w:rsidR="008A3036" w:rsidRPr="00D61CC8">
        <w:rPr>
          <w:rFonts w:hint="eastAsia"/>
          <w:color w:val="F79646" w:themeColor="accent6"/>
        </w:rPr>
        <w:t>#vt</w:t>
      </w:r>
      <w:r w:rsidR="008A3036">
        <w:rPr>
          <w:rFonts w:hint="eastAsia"/>
        </w:rPr>
        <w:t>吸吮</w:t>
      </w:r>
      <w:r w:rsidR="008A3036">
        <w:rPr>
          <w:rFonts w:hint="eastAsia"/>
        </w:rPr>
        <w:t>(</w:t>
      </w:r>
      <w:r w:rsidR="008A3036">
        <w:rPr>
          <w:rFonts w:hint="eastAsia"/>
        </w:rPr>
        <w:t>物</w:t>
      </w:r>
      <w:r w:rsidR="008A3036">
        <w:rPr>
          <w:rFonts w:hint="eastAsia"/>
        </w:rPr>
        <w:t xml:space="preserve">) </w:t>
      </w:r>
      <w:r w:rsidR="008A3036" w:rsidRPr="00D61CC8">
        <w:rPr>
          <w:rFonts w:hint="eastAsia"/>
          <w:color w:val="F79646" w:themeColor="accent6"/>
        </w:rPr>
        <w:t>#vi</w:t>
      </w:r>
      <w:r w:rsidR="008A3036">
        <w:rPr>
          <w:rFonts w:hint="eastAsia"/>
        </w:rPr>
        <w:t>吸吮</w:t>
      </w:r>
    </w:p>
    <w:p w14:paraId="4D2272A7" w14:textId="2BC3B4BC" w:rsidR="00030023" w:rsidRDefault="008A3036" w:rsidP="00514DE3">
      <w: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r w:rsidR="00E96193" w:rsidRPr="00E96193">
        <w:rPr>
          <w:rFonts w:hint="eastAsia"/>
          <w:color w:val="4BACC6" w:themeColor="accent5"/>
        </w:rPr>
        <w:t>悄悄跟踪</w:t>
      </w:r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lastRenderedPageBreak/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lastRenderedPageBreak/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lastRenderedPageBreak/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lastRenderedPageBreak/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1797A718" w14:textId="02726DB0" w:rsidR="00A30F8A" w:rsidRDefault="002B1FF5" w:rsidP="000C3846">
      <w:r>
        <w:rPr>
          <w:rFonts w:hint="eastAsia"/>
        </w:rPr>
        <w:lastRenderedPageBreak/>
        <w:tab/>
      </w:r>
      <w:r w:rsidR="00A30F8A">
        <w:rPr>
          <w:rFonts w:hint="eastAsia"/>
        </w:rPr>
        <w:t>tick</w:t>
      </w:r>
      <w:r w:rsidR="00A30F8A" w:rsidRPr="00590576">
        <w:t xml:space="preserve"> [tɪk]</w:t>
      </w:r>
      <w:r w:rsidR="00A30F8A" w:rsidRPr="00BB64D7">
        <w:rPr>
          <w:color w:val="F79646" w:themeColor="accent6"/>
        </w:rPr>
        <w:t>#</w:t>
      </w:r>
      <w:r w:rsidR="00A30F8A" w:rsidRPr="00BB64D7">
        <w:rPr>
          <w:rFonts w:hint="eastAsia"/>
          <w:color w:val="F79646" w:themeColor="accent6"/>
        </w:rPr>
        <w:t>v</w:t>
      </w:r>
      <w:r w:rsidR="00A30F8A" w:rsidRPr="00BB64D7">
        <w:rPr>
          <w:color w:val="F79646" w:themeColor="accent6"/>
        </w:rPr>
        <w:t>t</w:t>
      </w:r>
      <w:bookmarkStart w:id="0" w:name="_GoBack"/>
      <w:r w:rsidR="00A30F8A" w:rsidRPr="00A30F8A">
        <w:rPr>
          <w:rFonts w:hint="eastAsia"/>
          <w:color w:val="4BACC6" w:themeColor="accent5"/>
        </w:rPr>
        <w:t>给</w:t>
      </w:r>
      <w:r w:rsidR="00A30F8A" w:rsidRPr="00A30F8A">
        <w:rPr>
          <w:rFonts w:hint="eastAsia"/>
          <w:color w:val="4BACC6" w:themeColor="accent5"/>
        </w:rPr>
        <w:t>...</w:t>
      </w:r>
      <w:r w:rsidR="00A30F8A" w:rsidRPr="00A30F8A">
        <w:rPr>
          <w:rFonts w:hint="eastAsia"/>
          <w:color w:val="4BACC6" w:themeColor="accent5"/>
        </w:rPr>
        <w:t>标记号</w:t>
      </w:r>
      <w:bookmarkEnd w:id="0"/>
      <w:r w:rsidR="00A30F8A" w:rsidRPr="007B6E52">
        <w:rPr>
          <w:color w:val="F79646" w:themeColor="accent6"/>
        </w:rPr>
        <w:t>#</w:t>
      </w:r>
      <w:r w:rsidR="00A30F8A" w:rsidRPr="007B6E52">
        <w:rPr>
          <w:rFonts w:hint="eastAsia"/>
          <w:color w:val="F79646" w:themeColor="accent6"/>
        </w:rPr>
        <w:t>vi</w:t>
      </w:r>
      <w:r w:rsidR="00A30F8A">
        <w:rPr>
          <w:rFonts w:hint="eastAsia"/>
        </w:rPr>
        <w:t>滴答响</w:t>
      </w:r>
    </w:p>
    <w:p w14:paraId="64C88FC3" w14:textId="72069AED" w:rsidR="000C3846" w:rsidRDefault="00A30F8A" w:rsidP="000C3846">
      <w:r>
        <w:tab/>
      </w:r>
      <w:r w:rsidR="002B1FF5">
        <w:rPr>
          <w:rFonts w:hint="eastAsia"/>
        </w:rPr>
        <w:t>trace</w:t>
      </w:r>
      <w:r w:rsidR="002B1FF5" w:rsidRPr="00070093">
        <w:t xml:space="preserve"> [treɪs]</w:t>
      </w:r>
      <w:r w:rsidR="002B1FF5" w:rsidRPr="008002D2">
        <w:rPr>
          <w:rFonts w:hint="eastAsia"/>
          <w:color w:val="F79646" w:themeColor="accent6"/>
        </w:rPr>
        <w:t>#vt</w:t>
      </w:r>
      <w:r w:rsidR="002B1FF5">
        <w:rPr>
          <w:rFonts w:hint="eastAsia"/>
        </w:rPr>
        <w:t>追踪</w:t>
      </w:r>
      <w:r w:rsidR="002B1FF5">
        <w:rPr>
          <w:rFonts w:hint="eastAsia"/>
        </w:rPr>
        <w:t>(</w:t>
      </w:r>
      <w:r w:rsidR="002B1FF5">
        <w:rPr>
          <w:rFonts w:hint="eastAsia"/>
        </w:rPr>
        <w:t>宾</w:t>
      </w:r>
      <w:r w:rsidR="002B1FF5">
        <w:rPr>
          <w:rFonts w:hint="eastAsia"/>
        </w:rPr>
        <w:t>)/</w:t>
      </w:r>
      <w:r w:rsidR="002B1FF5" w:rsidRPr="00BF0076">
        <w:rPr>
          <w:rFonts w:hint="eastAsia"/>
          <w:color w:val="4BACC6" w:themeColor="accent5"/>
        </w:rPr>
        <w:t>描</w:t>
      </w:r>
      <w:r w:rsidR="002B1FF5" w:rsidRPr="00BF0076">
        <w:rPr>
          <w:rFonts w:hint="eastAsia"/>
          <w:color w:val="4BACC6" w:themeColor="accent5"/>
        </w:rPr>
        <w:t>,</w:t>
      </w:r>
      <w:r w:rsidR="002B1FF5" w:rsidRPr="00BF0076">
        <w:rPr>
          <w:rFonts w:hint="eastAsia"/>
          <w:color w:val="4BACC6" w:themeColor="accent5"/>
        </w:rPr>
        <w:t>勾勒</w:t>
      </w:r>
      <w:r w:rsidR="002B1FF5" w:rsidRPr="00BF0076">
        <w:rPr>
          <w:rFonts w:hint="eastAsia"/>
          <w:color w:val="4BACC6" w:themeColor="accent5"/>
        </w:rPr>
        <w:t>(</w:t>
      </w:r>
      <w:r w:rsidR="002B1FF5" w:rsidRPr="00BF0076">
        <w:rPr>
          <w:rFonts w:hint="eastAsia"/>
          <w:color w:val="4BACC6" w:themeColor="accent5"/>
        </w:rPr>
        <w:t>图文</w:t>
      </w:r>
      <w:r w:rsidR="002B1FF5"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lastRenderedPageBreak/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lastRenderedPageBreak/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1372E8BC" w14:textId="047BC4BE" w:rsidR="008E25CC" w:rsidRDefault="00DB13BA" w:rsidP="00DB13BA">
      <w:r>
        <w:rPr>
          <w:rFonts w:hint="eastAsia"/>
        </w:rPr>
        <w:tab/>
      </w:r>
      <w:r w:rsidR="008E25CC" w:rsidRPr="008E25CC">
        <w:t>stitch [stɪtʃ]</w:t>
      </w:r>
      <w:r w:rsidR="00AC0912" w:rsidRPr="00AC0912">
        <w:rPr>
          <w:color w:val="F79646" w:themeColor="accent6"/>
        </w:rPr>
        <w:t>#</w:t>
      </w:r>
      <w:r w:rsidR="00AC0912" w:rsidRPr="00AC0912">
        <w:rPr>
          <w:rFonts w:hint="eastAsia"/>
          <w:color w:val="F79646" w:themeColor="accent6"/>
        </w:rPr>
        <w:t>vt</w:t>
      </w:r>
      <w:r w:rsidR="00AC0912">
        <w:rPr>
          <w:rFonts w:hint="eastAsia"/>
        </w:rPr>
        <w:t>缝</w:t>
      </w:r>
      <w:r w:rsidR="00AC0912" w:rsidRPr="00AC0912">
        <w:rPr>
          <w:rFonts w:hint="eastAsia"/>
          <w:color w:val="F79646" w:themeColor="accent6"/>
        </w:rPr>
        <w:t>#vi</w:t>
      </w:r>
      <w:r w:rsidR="00AC0912">
        <w:rPr>
          <w:rFonts w:hint="eastAsia"/>
        </w:rPr>
        <w:t>缝</w:t>
      </w:r>
    </w:p>
    <w:p w14:paraId="03E54A7B" w14:textId="3F7AA7A0" w:rsidR="00DB13BA" w:rsidRDefault="008E25CC" w:rsidP="00DB13BA">
      <w:r>
        <w:tab/>
      </w:r>
      <w:r w:rsidR="00DB13BA">
        <w:rPr>
          <w:rFonts w:hint="eastAsia"/>
        </w:rPr>
        <w:t>sugar</w:t>
      </w:r>
      <w:r w:rsidR="00DB13BA" w:rsidRPr="00ED035B">
        <w:t xml:space="preserve"> [ˈʃʊgə</w:t>
      </w:r>
      <w:r w:rsidR="00DB13BA">
        <w:t>r</w:t>
      </w:r>
      <w:r w:rsidR="00DB13BA" w:rsidRPr="00ED035B">
        <w:t>]</w:t>
      </w:r>
      <w:r w:rsidR="00DB13BA" w:rsidRPr="00571137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在</w:t>
      </w:r>
      <w:r w:rsidR="00DB13BA">
        <w:rPr>
          <w:rFonts w:hint="eastAsia"/>
        </w:rPr>
        <w:t>...</w:t>
      </w:r>
      <w:r w:rsidR="00DB13BA"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7D5E7AE7" w14:textId="7D22CDF2" w:rsidR="0088204E" w:rsidRDefault="001C47FC" w:rsidP="00DB13BA">
      <w:r>
        <w:rPr>
          <w:rFonts w:hint="eastAsia"/>
        </w:rPr>
        <w:tab/>
      </w:r>
      <w:r w:rsidR="0088204E">
        <w:rPr>
          <w:rFonts w:hint="eastAsia"/>
        </w:rPr>
        <w:t>tai</w:t>
      </w:r>
      <w:r w:rsidR="0088204E">
        <w:t>lor</w:t>
      </w:r>
      <w:r w:rsidR="0088204E" w:rsidRPr="0088204E">
        <w:t xml:space="preserve"> [ˈteɪlə</w:t>
      </w:r>
      <w:r w:rsidR="0088204E">
        <w:t>r</w:t>
      </w:r>
      <w:r w:rsidR="0088204E" w:rsidRPr="0088204E">
        <w:t>]</w:t>
      </w:r>
      <w:r w:rsidR="0088204E" w:rsidRPr="0088204E">
        <w:rPr>
          <w:color w:val="F79646" w:themeColor="accent6"/>
        </w:rPr>
        <w:t>#vt</w:t>
      </w:r>
      <w:r w:rsidR="0088204E">
        <w:rPr>
          <w:rFonts w:hint="eastAsia"/>
        </w:rPr>
        <w:t>裁制</w:t>
      </w:r>
      <w:r w:rsidR="0088204E">
        <w:rPr>
          <w:rFonts w:hint="eastAsia"/>
        </w:rPr>
        <w:t>(</w:t>
      </w:r>
      <w:r w:rsidR="0088204E">
        <w:rPr>
          <w:rFonts w:hint="eastAsia"/>
        </w:rPr>
        <w:t>衣服</w:t>
      </w:r>
      <w:r w:rsidR="006F1462">
        <w:rPr>
          <w:rFonts w:hint="eastAsia"/>
        </w:rPr>
        <w:t>|</w:t>
      </w:r>
      <w:r w:rsidR="006F1462">
        <w:rPr>
          <w:rFonts w:hint="eastAsia"/>
        </w:rPr>
        <w:t>双宾</w:t>
      </w:r>
      <w:r w:rsidR="0088204E">
        <w:rPr>
          <w:rFonts w:hint="eastAsia"/>
        </w:rPr>
        <w:t>)</w:t>
      </w:r>
      <w:r w:rsidR="0088204E" w:rsidRPr="0088204E">
        <w:rPr>
          <w:rFonts w:hint="eastAsia"/>
          <w:color w:val="F79646" w:themeColor="accent6"/>
        </w:rPr>
        <w:t>#vi</w:t>
      </w:r>
      <w:r w:rsidR="0088204E">
        <w:rPr>
          <w:rFonts w:hint="eastAsia"/>
        </w:rPr>
        <w:t>裁制</w:t>
      </w:r>
    </w:p>
    <w:p w14:paraId="34DA849B" w14:textId="3F17E95B" w:rsidR="001C47FC" w:rsidRDefault="0088204E" w:rsidP="00DB13BA">
      <w:r>
        <w:tab/>
      </w:r>
      <w:r w:rsidR="001C47FC"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lastRenderedPageBreak/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372CD" w14:textId="77777777" w:rsidR="005356E6" w:rsidRDefault="005356E6" w:rsidP="004A20C6">
      <w:r>
        <w:separator/>
      </w:r>
    </w:p>
  </w:endnote>
  <w:endnote w:type="continuationSeparator" w:id="0">
    <w:p w14:paraId="15D3DD88" w14:textId="77777777" w:rsidR="005356E6" w:rsidRDefault="005356E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0CE50" w14:textId="77777777" w:rsidR="005356E6" w:rsidRDefault="005356E6" w:rsidP="004A20C6">
      <w:r>
        <w:separator/>
      </w:r>
    </w:p>
  </w:footnote>
  <w:footnote w:type="continuationSeparator" w:id="0">
    <w:p w14:paraId="12903F74" w14:textId="77777777" w:rsidR="005356E6" w:rsidRDefault="005356E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1EDE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E9C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977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4FD4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5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28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7D8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91D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586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5A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6E6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10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AEE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462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B44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27EE5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16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73A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A68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B1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4E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036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5CC"/>
    <w:rsid w:val="008E2AE3"/>
    <w:rsid w:val="008E2AE6"/>
    <w:rsid w:val="008E2C57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E90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ABA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1D8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7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55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94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1CD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0F8A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8C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0912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23F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B13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601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B66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28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599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1BD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1F0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48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6F1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2FE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14876</TotalTime>
  <Pages>22</Pages>
  <Words>4771</Words>
  <Characters>27199</Characters>
  <Application>Microsoft Office Word</Application>
  <DocSecurity>0</DocSecurity>
  <Lines>226</Lines>
  <Paragraphs>63</Paragraphs>
  <ScaleCrop>false</ScaleCrop>
  <Company/>
  <LinksUpToDate>false</LinksUpToDate>
  <CharactersWithSpaces>31907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26020</cp:revision>
  <dcterms:created xsi:type="dcterms:W3CDTF">2016-04-21T06:50:00Z</dcterms:created>
  <dcterms:modified xsi:type="dcterms:W3CDTF">2018-06-16T07:49:00Z</dcterms:modified>
</cp:coreProperties>
</file>