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A83222" w:rsidP="00C178BC">
      <w:pPr>
        <w:jc w:val="center"/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Boletim de Acompanhamento</w:t>
      </w:r>
    </w:p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C178BC" w:rsidP="00C178BC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Atividades do CIAT e da NT Consult - Projeto PMAT</w:t>
      </w:r>
    </w:p>
    <w:p w:rsidR="00A83222" w:rsidRPr="00C178BC" w:rsidRDefault="00A83222" w:rsidP="00A83222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 xml:space="preserve">Data: </w:t>
      </w:r>
      <w:r w:rsidR="00095CD9">
        <w:rPr>
          <w:b/>
          <w:sz w:val="28"/>
          <w:szCs w:val="28"/>
          <w:lang w:val="pt-BR"/>
        </w:rPr>
        <w:t>29</w:t>
      </w:r>
      <w:r w:rsidRPr="00C178BC">
        <w:rPr>
          <w:b/>
          <w:sz w:val="28"/>
          <w:szCs w:val="28"/>
          <w:lang w:val="pt-BR"/>
        </w:rPr>
        <w:t>/</w:t>
      </w:r>
      <w:proofErr w:type="spellStart"/>
      <w:r w:rsidR="00095CD9">
        <w:rPr>
          <w:b/>
          <w:sz w:val="28"/>
          <w:szCs w:val="28"/>
          <w:lang w:val="pt-BR"/>
        </w:rPr>
        <w:t>Abr</w:t>
      </w:r>
      <w:proofErr w:type="spellEnd"/>
      <w:r w:rsidRPr="00C178BC">
        <w:rPr>
          <w:b/>
          <w:sz w:val="28"/>
          <w:szCs w:val="28"/>
          <w:lang w:val="pt-BR"/>
        </w:rPr>
        <w:t>/2016</w:t>
      </w:r>
    </w:p>
    <w:p w:rsidR="00C178BC" w:rsidRDefault="00C178BC" w:rsidP="00A83222">
      <w:pPr>
        <w:rPr>
          <w:lang w:val="pt-BR"/>
        </w:rPr>
      </w:pPr>
    </w:p>
    <w:p w:rsidR="00A83222" w:rsidRPr="00A83222" w:rsidRDefault="00A83222" w:rsidP="00082FAD">
      <w:pPr>
        <w:jc w:val="both"/>
        <w:rPr>
          <w:lang w:val="pt-BR"/>
        </w:rPr>
      </w:pPr>
      <w:r w:rsidRPr="00A83222">
        <w:rPr>
          <w:lang w:val="pt-BR"/>
        </w:rPr>
        <w:t xml:space="preserve">Boletim de acompanhamento das principais atividades do CIAT </w:t>
      </w:r>
      <w:r w:rsidR="00C178BC">
        <w:rPr>
          <w:lang w:val="pt-BR"/>
        </w:rPr>
        <w:t xml:space="preserve">e da NT Consult referente a atividades de gerenciamento do relacionamento com a Fábrica de Software </w:t>
      </w:r>
      <w:r w:rsidRPr="00A83222">
        <w:rPr>
          <w:lang w:val="pt-BR"/>
        </w:rPr>
        <w:t xml:space="preserve">no período de 01 a </w:t>
      </w:r>
      <w:r w:rsidR="00095CD9">
        <w:rPr>
          <w:lang w:val="pt-BR"/>
        </w:rPr>
        <w:t>30</w:t>
      </w:r>
      <w:r w:rsidRPr="00A83222">
        <w:rPr>
          <w:lang w:val="pt-BR"/>
        </w:rPr>
        <w:t xml:space="preserve"> de </w:t>
      </w:r>
      <w:r w:rsidR="00095CD9">
        <w:rPr>
          <w:lang w:val="pt-BR"/>
        </w:rPr>
        <w:t>abril</w:t>
      </w:r>
      <w:r w:rsidRPr="00A83222">
        <w:rPr>
          <w:lang w:val="pt-BR"/>
        </w:rPr>
        <w:t xml:space="preserve"> de 2016.</w:t>
      </w:r>
    </w:p>
    <w:p w:rsidR="00B54FB0" w:rsidRDefault="00B54FB0" w:rsidP="00B54FB0">
      <w:pPr>
        <w:jc w:val="both"/>
        <w:rPr>
          <w:lang w:val="pt-BR"/>
        </w:rPr>
      </w:pPr>
    </w:p>
    <w:p w:rsidR="00B54FB0" w:rsidRPr="00592FDB" w:rsidRDefault="00B54FB0" w:rsidP="00B54FB0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6FFB23" wp14:editId="3602508C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479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8755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6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7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BA30B" id="Group 14796" o:spid="_x0000_s1026" style="position:absolute;margin-left:28.3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592FDB">
        <w:rPr>
          <w:b/>
          <w:color w:val="17365D"/>
          <w:sz w:val="28"/>
          <w:szCs w:val="28"/>
          <w:lang w:val="pt-BR"/>
        </w:rPr>
        <w:t>A)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 w:rsidRPr="00592FDB">
        <w:rPr>
          <w:b/>
          <w:color w:val="17365D"/>
          <w:sz w:val="28"/>
          <w:szCs w:val="28"/>
          <w:lang w:val="pt-BR"/>
        </w:rPr>
        <w:t>Atividades do Gerenciamento do Relacionamento</w:t>
      </w:r>
    </w:p>
    <w:p w:rsidR="00B54FB0" w:rsidRPr="00A83222" w:rsidRDefault="00B54FB0" w:rsidP="00B54FB0">
      <w:pPr>
        <w:jc w:val="both"/>
        <w:rPr>
          <w:lang w:val="pt-BR"/>
        </w:rPr>
      </w:pPr>
    </w:p>
    <w:p w:rsidR="00F77732" w:rsidRPr="00225378" w:rsidRDefault="00AC53BF" w:rsidP="00080AE7">
      <w:pPr>
        <w:jc w:val="both"/>
        <w:rPr>
          <w:lang w:val="pt-BR"/>
        </w:rPr>
      </w:pPr>
      <w:r>
        <w:rPr>
          <w:lang w:val="pt-BR"/>
        </w:rPr>
        <w:t xml:space="preserve">Apresentada pela </w:t>
      </w:r>
      <w:r w:rsidR="00940421" w:rsidRPr="005F3235">
        <w:rPr>
          <w:lang w:val="pt-BR"/>
        </w:rPr>
        <w:t xml:space="preserve">NT Consult </w:t>
      </w:r>
      <w:r>
        <w:rPr>
          <w:lang w:val="pt-BR"/>
        </w:rPr>
        <w:t xml:space="preserve">a </w:t>
      </w:r>
      <w:r w:rsidR="00940421" w:rsidRPr="005F3235">
        <w:rPr>
          <w:lang w:val="pt-BR"/>
        </w:rPr>
        <w:t xml:space="preserve">arquitetura </w:t>
      </w:r>
      <w:r w:rsidR="00932212">
        <w:rPr>
          <w:lang w:val="pt-BR"/>
        </w:rPr>
        <w:t xml:space="preserve">do framework </w:t>
      </w:r>
      <w:r w:rsidR="00940421" w:rsidRPr="005F3235">
        <w:rPr>
          <w:lang w:val="pt-BR"/>
        </w:rPr>
        <w:t xml:space="preserve">implementada </w:t>
      </w:r>
      <w:r w:rsidR="00932212">
        <w:rPr>
          <w:lang w:val="pt-BR"/>
        </w:rPr>
        <w:t xml:space="preserve">para atender à OS 4721 e solicitou </w:t>
      </w:r>
      <w:r w:rsidR="00932212" w:rsidRPr="005F3235">
        <w:rPr>
          <w:lang w:val="pt-BR"/>
        </w:rPr>
        <w:t xml:space="preserve">apoio </w:t>
      </w:r>
      <w:r w:rsidR="00932212">
        <w:rPr>
          <w:lang w:val="pt-BR"/>
        </w:rPr>
        <w:t xml:space="preserve">do CIAT </w:t>
      </w:r>
      <w:r w:rsidR="00932212" w:rsidRPr="005F3235">
        <w:rPr>
          <w:lang w:val="pt-BR"/>
        </w:rPr>
        <w:t>para validar</w:t>
      </w:r>
      <w:r w:rsidR="00940421" w:rsidRPr="005F3235">
        <w:rPr>
          <w:lang w:val="pt-BR"/>
        </w:rPr>
        <w:t>.</w:t>
      </w:r>
      <w:r w:rsidR="00932212">
        <w:rPr>
          <w:lang w:val="pt-BR"/>
        </w:rPr>
        <w:t xml:space="preserve"> </w:t>
      </w:r>
      <w:r w:rsidR="00940421">
        <w:rPr>
          <w:lang w:val="pt-BR"/>
        </w:rPr>
        <w:t xml:space="preserve">O CIAT </w:t>
      </w:r>
      <w:r w:rsidR="00932212">
        <w:rPr>
          <w:lang w:val="pt-BR"/>
        </w:rPr>
        <w:t>apresentou</w:t>
      </w:r>
      <w:r w:rsidR="00940421">
        <w:rPr>
          <w:lang w:val="pt-BR"/>
        </w:rPr>
        <w:t xml:space="preserve"> uma série de sugestões de melhoria </w:t>
      </w:r>
      <w:r w:rsidR="00932212">
        <w:rPr>
          <w:lang w:val="pt-BR"/>
        </w:rPr>
        <w:t>n</w:t>
      </w:r>
      <w:r w:rsidR="00940421">
        <w:rPr>
          <w:lang w:val="pt-BR"/>
        </w:rPr>
        <w:t>a arquitetura.</w:t>
      </w:r>
      <w:r w:rsidR="00932212">
        <w:rPr>
          <w:lang w:val="pt-BR"/>
        </w:rPr>
        <w:t xml:space="preserve"> </w:t>
      </w:r>
      <w:r w:rsidR="00F77732">
        <w:rPr>
          <w:lang w:val="pt-BR"/>
        </w:rPr>
        <w:t xml:space="preserve">A NT Consult </w:t>
      </w:r>
      <w:r w:rsidR="00932212">
        <w:rPr>
          <w:lang w:val="pt-BR"/>
        </w:rPr>
        <w:t xml:space="preserve">está </w:t>
      </w:r>
      <w:r w:rsidR="00F77732">
        <w:rPr>
          <w:lang w:val="pt-BR"/>
        </w:rPr>
        <w:t>a</w:t>
      </w:r>
      <w:r w:rsidR="00F77732" w:rsidRPr="00B334F3">
        <w:rPr>
          <w:lang w:val="pt-BR"/>
        </w:rPr>
        <w:t>dequa</w:t>
      </w:r>
      <w:r w:rsidR="00932212">
        <w:rPr>
          <w:lang w:val="pt-BR"/>
        </w:rPr>
        <w:t>ndo</w:t>
      </w:r>
      <w:r w:rsidR="00F77732" w:rsidRPr="00B334F3">
        <w:rPr>
          <w:lang w:val="pt-BR"/>
        </w:rPr>
        <w:t xml:space="preserve"> </w:t>
      </w:r>
      <w:r w:rsidR="00932212">
        <w:rPr>
          <w:lang w:val="pt-BR"/>
        </w:rPr>
        <w:t>a</w:t>
      </w:r>
      <w:r w:rsidR="00F77732" w:rsidRPr="00B334F3">
        <w:rPr>
          <w:lang w:val="pt-BR"/>
        </w:rPr>
        <w:t xml:space="preserve"> arquitetura</w:t>
      </w:r>
      <w:r w:rsidR="00F77732">
        <w:rPr>
          <w:lang w:val="pt-BR"/>
        </w:rPr>
        <w:t xml:space="preserve"> </w:t>
      </w:r>
      <w:r w:rsidR="00F77732" w:rsidRPr="00B334F3">
        <w:rPr>
          <w:lang w:val="pt-BR"/>
        </w:rPr>
        <w:t>conforme a necess</w:t>
      </w:r>
      <w:r w:rsidR="00F77732">
        <w:rPr>
          <w:lang w:val="pt-BR"/>
        </w:rPr>
        <w:t>idade e que a</w:t>
      </w:r>
      <w:r w:rsidR="00F77732" w:rsidRPr="00B334F3">
        <w:rPr>
          <w:lang w:val="pt-BR"/>
        </w:rPr>
        <w:t xml:space="preserve">s mais impactantes já estão </w:t>
      </w:r>
      <w:r w:rsidR="00F77732">
        <w:rPr>
          <w:lang w:val="pt-BR"/>
        </w:rPr>
        <w:t>pontas</w:t>
      </w:r>
      <w:r w:rsidR="00F77732" w:rsidRPr="00B334F3">
        <w:rPr>
          <w:lang w:val="pt-BR"/>
        </w:rPr>
        <w:t>.</w:t>
      </w:r>
      <w:r w:rsidR="00932212">
        <w:rPr>
          <w:lang w:val="pt-BR"/>
        </w:rPr>
        <w:t xml:space="preserve"> Faremos nova avaliação da arquitetura do framework em 30/05/2016, quando teremos um volume de código maior para avaliar.</w:t>
      </w:r>
    </w:p>
    <w:p w:rsidR="00F77732" w:rsidRDefault="00AC53BF" w:rsidP="00080AE7">
      <w:pPr>
        <w:jc w:val="both"/>
        <w:rPr>
          <w:lang w:val="pt-BR"/>
        </w:rPr>
      </w:pPr>
      <w:r>
        <w:rPr>
          <w:lang w:val="pt-BR"/>
        </w:rPr>
        <w:t xml:space="preserve">Apresentada pela </w:t>
      </w:r>
      <w:r w:rsidR="00940421" w:rsidRPr="00851FC3">
        <w:rPr>
          <w:lang w:val="pt-BR"/>
        </w:rPr>
        <w:t xml:space="preserve">NT Consult </w:t>
      </w:r>
      <w:r>
        <w:rPr>
          <w:lang w:val="pt-BR"/>
        </w:rPr>
        <w:t>a</w:t>
      </w:r>
      <w:r w:rsidR="00932212">
        <w:rPr>
          <w:lang w:val="pt-BR"/>
        </w:rPr>
        <w:t xml:space="preserve"> proposta de </w:t>
      </w:r>
      <w:r w:rsidR="00940421" w:rsidRPr="00851FC3">
        <w:rPr>
          <w:lang w:val="pt-BR"/>
        </w:rPr>
        <w:t xml:space="preserve">Documentação Técnica baseada no </w:t>
      </w:r>
      <w:proofErr w:type="spellStart"/>
      <w:r w:rsidR="00940421" w:rsidRPr="00851FC3">
        <w:rPr>
          <w:lang w:val="pt-BR"/>
        </w:rPr>
        <w:t>JavaDocs</w:t>
      </w:r>
      <w:proofErr w:type="spellEnd"/>
      <w:r w:rsidR="00932212">
        <w:rPr>
          <w:lang w:val="pt-BR"/>
        </w:rPr>
        <w:t xml:space="preserve">, e disponibilizou o </w:t>
      </w:r>
      <w:r w:rsidR="00932212">
        <w:rPr>
          <w:lang w:val="pt-BR"/>
        </w:rPr>
        <w:t xml:space="preserve">endereço do </w:t>
      </w:r>
      <w:r w:rsidR="00932212" w:rsidRPr="00C64F21">
        <w:rPr>
          <w:lang w:val="pt-BR"/>
        </w:rPr>
        <w:t xml:space="preserve">site de </w:t>
      </w:r>
      <w:r w:rsidR="00932212">
        <w:rPr>
          <w:lang w:val="pt-BR"/>
        </w:rPr>
        <w:t>Documentação Técnica do Sistema</w:t>
      </w:r>
      <w:r w:rsidR="00932212" w:rsidRPr="00C64F21">
        <w:rPr>
          <w:lang w:val="pt-BR"/>
        </w:rPr>
        <w:t xml:space="preserve"> </w:t>
      </w:r>
      <w:hyperlink r:id="rId8" w:history="1">
        <w:r w:rsidR="00932212" w:rsidRPr="00606251">
          <w:rPr>
            <w:rStyle w:val="Hyperlink"/>
            <w:lang w:val="pt-BR"/>
          </w:rPr>
          <w:t>http://177.39.184.50:9080/sat/docs/javadocs/index.html</w:t>
        </w:r>
      </w:hyperlink>
      <w:r w:rsidR="00932212">
        <w:rPr>
          <w:lang w:val="pt-BR"/>
        </w:rPr>
        <w:t>.</w:t>
      </w:r>
      <w:r w:rsidR="00932212">
        <w:rPr>
          <w:lang w:val="pt-BR"/>
        </w:rPr>
        <w:t xml:space="preserve"> A </w:t>
      </w:r>
      <w:r w:rsidR="00940421" w:rsidRPr="005F3235">
        <w:rPr>
          <w:lang w:val="pt-BR"/>
        </w:rPr>
        <w:t xml:space="preserve">NT Consult </w:t>
      </w:r>
      <w:r w:rsidR="00932212">
        <w:rPr>
          <w:lang w:val="pt-BR"/>
        </w:rPr>
        <w:t>propostos</w:t>
      </w:r>
      <w:r w:rsidR="00940421" w:rsidRPr="005F3235">
        <w:rPr>
          <w:lang w:val="pt-BR"/>
        </w:rPr>
        <w:t xml:space="preserve"> que </w:t>
      </w:r>
      <w:r w:rsidR="00932212">
        <w:rPr>
          <w:lang w:val="pt-BR"/>
        </w:rPr>
        <w:t>as</w:t>
      </w:r>
      <w:r w:rsidR="00940421" w:rsidRPr="005F3235">
        <w:rPr>
          <w:lang w:val="pt-BR"/>
        </w:rPr>
        <w:t xml:space="preserve"> ajudas online (HELP) e manual do usuário ser</w:t>
      </w:r>
      <w:r w:rsidR="00932212">
        <w:rPr>
          <w:lang w:val="pt-BR"/>
        </w:rPr>
        <w:t>ão</w:t>
      </w:r>
      <w:r w:rsidR="00940421" w:rsidRPr="005F3235">
        <w:rPr>
          <w:lang w:val="pt-BR"/>
        </w:rPr>
        <w:t xml:space="preserve"> mantid</w:t>
      </w:r>
      <w:r w:rsidR="00932212">
        <w:rPr>
          <w:lang w:val="pt-BR"/>
        </w:rPr>
        <w:t>os</w:t>
      </w:r>
      <w:r w:rsidR="00940421" w:rsidRPr="005F3235">
        <w:rPr>
          <w:lang w:val="pt-BR"/>
        </w:rPr>
        <w:t xml:space="preserve"> via ferramenta colaborativa baseada em tecnologia Wiki.</w:t>
      </w:r>
      <w:r w:rsidR="00932212">
        <w:rPr>
          <w:lang w:val="pt-BR"/>
        </w:rPr>
        <w:t xml:space="preserve"> </w:t>
      </w:r>
      <w:r w:rsidR="00F77732" w:rsidRPr="001225E1">
        <w:rPr>
          <w:lang w:val="pt-BR"/>
        </w:rPr>
        <w:t xml:space="preserve">O CIAT avaliou a documentação </w:t>
      </w:r>
      <w:r w:rsidR="00932212">
        <w:rPr>
          <w:lang w:val="pt-BR"/>
        </w:rPr>
        <w:t xml:space="preserve">baseada no </w:t>
      </w:r>
      <w:proofErr w:type="spellStart"/>
      <w:r w:rsidR="00F77732" w:rsidRPr="001225E1">
        <w:rPr>
          <w:lang w:val="pt-BR"/>
        </w:rPr>
        <w:t>JavaDocs</w:t>
      </w:r>
      <w:proofErr w:type="spellEnd"/>
      <w:r w:rsidR="00F77732" w:rsidRPr="001225E1">
        <w:rPr>
          <w:lang w:val="pt-BR"/>
        </w:rPr>
        <w:t xml:space="preserve"> </w:t>
      </w:r>
      <w:r w:rsidR="00932212">
        <w:rPr>
          <w:lang w:val="pt-BR"/>
        </w:rPr>
        <w:t>proposta</w:t>
      </w:r>
      <w:r w:rsidR="00F77732" w:rsidRPr="001225E1">
        <w:rPr>
          <w:lang w:val="pt-BR"/>
        </w:rPr>
        <w:t xml:space="preserve"> pela NT</w:t>
      </w:r>
      <w:r w:rsidR="00932212">
        <w:rPr>
          <w:lang w:val="pt-BR"/>
        </w:rPr>
        <w:t xml:space="preserve"> </w:t>
      </w:r>
      <w:r w:rsidR="00F77732" w:rsidRPr="001225E1">
        <w:rPr>
          <w:lang w:val="pt-BR"/>
        </w:rPr>
        <w:t>Consult e concluiu que atende parcialmente e que necessitara de outras documentações como: Documentação de Telas, Diagramas de Iteração ou Sequência, Diagramas de Entidade-Relacionamento). Al</w:t>
      </w:r>
      <w:r w:rsidR="00F77732">
        <w:rPr>
          <w:lang w:val="pt-BR"/>
        </w:rPr>
        <w:t>ém de que o</w:t>
      </w:r>
      <w:r w:rsidR="00F77732" w:rsidRPr="001225E1">
        <w:rPr>
          <w:lang w:val="pt-BR"/>
        </w:rPr>
        <w:t>s desenvolvedores deve</w:t>
      </w:r>
      <w:r w:rsidR="00F77732">
        <w:rPr>
          <w:lang w:val="pt-BR"/>
        </w:rPr>
        <w:t xml:space="preserve">riam comentar os códigos fontes no mesmo nível de documentação, incluírem </w:t>
      </w:r>
      <w:r w:rsidR="00F77732" w:rsidRPr="001225E1">
        <w:rPr>
          <w:lang w:val="pt-BR"/>
        </w:rPr>
        <w:t>o</w:t>
      </w:r>
      <w:r w:rsidR="00F77732">
        <w:rPr>
          <w:lang w:val="pt-BR"/>
        </w:rPr>
        <w:t xml:space="preserve"> uso das </w:t>
      </w:r>
      <w:proofErr w:type="spellStart"/>
      <w:r w:rsidR="00F77732" w:rsidRPr="001225E1">
        <w:rPr>
          <w:lang w:val="pt-BR"/>
        </w:rPr>
        <w:t>tags</w:t>
      </w:r>
      <w:proofErr w:type="spellEnd"/>
      <w:r w:rsidR="00F77732" w:rsidRPr="001225E1">
        <w:rPr>
          <w:lang w:val="pt-BR"/>
        </w:rPr>
        <w:t xml:space="preserve"> do </w:t>
      </w:r>
      <w:proofErr w:type="spellStart"/>
      <w:r w:rsidR="00F77732" w:rsidRPr="001225E1">
        <w:rPr>
          <w:lang w:val="pt-BR"/>
        </w:rPr>
        <w:t>JavaDocs</w:t>
      </w:r>
      <w:proofErr w:type="spellEnd"/>
      <w:r w:rsidR="00F77732" w:rsidRPr="001225E1">
        <w:rPr>
          <w:lang w:val="pt-BR"/>
        </w:rPr>
        <w:t xml:space="preserve">, como: </w:t>
      </w:r>
      <w:proofErr w:type="spellStart"/>
      <w:r w:rsidR="00F77732">
        <w:rPr>
          <w:lang w:val="pt-BR"/>
        </w:rPr>
        <w:t>s</w:t>
      </w:r>
      <w:r w:rsidR="00F77732" w:rsidRPr="001225E1">
        <w:rPr>
          <w:lang w:val="pt-BR"/>
        </w:rPr>
        <w:t>ince</w:t>
      </w:r>
      <w:proofErr w:type="spellEnd"/>
      <w:r w:rsidR="00F77732" w:rsidRPr="001225E1">
        <w:rPr>
          <w:lang w:val="pt-BR"/>
        </w:rPr>
        <w:t xml:space="preserve">, </w:t>
      </w:r>
      <w:proofErr w:type="spellStart"/>
      <w:r w:rsidR="00F77732" w:rsidRPr="001225E1">
        <w:rPr>
          <w:lang w:val="pt-BR"/>
        </w:rPr>
        <w:t>version</w:t>
      </w:r>
      <w:proofErr w:type="spellEnd"/>
      <w:r w:rsidR="00F77732" w:rsidRPr="001225E1">
        <w:rPr>
          <w:lang w:val="pt-BR"/>
        </w:rPr>
        <w:t xml:space="preserve">, </w:t>
      </w:r>
      <w:proofErr w:type="spellStart"/>
      <w:r w:rsidR="00F77732" w:rsidRPr="001225E1">
        <w:rPr>
          <w:lang w:val="pt-BR"/>
        </w:rPr>
        <w:t>returns</w:t>
      </w:r>
      <w:proofErr w:type="spellEnd"/>
      <w:r w:rsidR="00F77732" w:rsidRPr="001225E1">
        <w:rPr>
          <w:lang w:val="pt-BR"/>
        </w:rPr>
        <w:t xml:space="preserve">, </w:t>
      </w:r>
      <w:proofErr w:type="spellStart"/>
      <w:r w:rsidR="00F77732" w:rsidRPr="001225E1">
        <w:rPr>
          <w:lang w:val="pt-BR"/>
        </w:rPr>
        <w:t>throws</w:t>
      </w:r>
      <w:proofErr w:type="spellEnd"/>
      <w:r w:rsidR="00F77732">
        <w:rPr>
          <w:lang w:val="pt-BR"/>
        </w:rPr>
        <w:t>.</w:t>
      </w:r>
    </w:p>
    <w:p w:rsidR="00F77732" w:rsidRPr="001225E1" w:rsidRDefault="00AC53BF" w:rsidP="00080AE7">
      <w:pPr>
        <w:jc w:val="both"/>
        <w:rPr>
          <w:lang w:val="pt-BR"/>
        </w:rPr>
      </w:pPr>
      <w:r>
        <w:rPr>
          <w:lang w:val="pt-BR"/>
        </w:rPr>
        <w:t xml:space="preserve">Proposto pelo </w:t>
      </w:r>
      <w:r w:rsidR="00F77732" w:rsidRPr="001225E1">
        <w:rPr>
          <w:lang w:val="pt-BR"/>
        </w:rPr>
        <w:t xml:space="preserve">CIAT que </w:t>
      </w:r>
      <w:r w:rsidR="00F77732">
        <w:rPr>
          <w:lang w:val="pt-BR"/>
        </w:rPr>
        <w:t>a</w:t>
      </w:r>
      <w:r w:rsidR="00F77732" w:rsidRPr="001225E1">
        <w:rPr>
          <w:lang w:val="pt-BR"/>
        </w:rPr>
        <w:t xml:space="preserve"> documentação por módulo deveria </w:t>
      </w:r>
      <w:r w:rsidR="00932212">
        <w:rPr>
          <w:lang w:val="pt-BR"/>
        </w:rPr>
        <w:t>t</w:t>
      </w:r>
      <w:r w:rsidR="00F77732" w:rsidRPr="001225E1">
        <w:rPr>
          <w:lang w:val="pt-BR"/>
        </w:rPr>
        <w:t>er</w:t>
      </w:r>
      <w:r w:rsidR="00F77732">
        <w:rPr>
          <w:lang w:val="pt-BR"/>
        </w:rPr>
        <w:t xml:space="preserve"> no mínimo</w:t>
      </w:r>
      <w:r w:rsidR="00F77732" w:rsidRPr="001225E1">
        <w:rPr>
          <w:lang w:val="pt-BR"/>
        </w:rPr>
        <w:t>: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Diagrama de Pacotes (Geral - Classes sem atributos).</w:t>
      </w:r>
      <w:r>
        <w:rPr>
          <w:lang w:val="pt-BR"/>
        </w:rPr>
        <w:t xml:space="preserve"> Atendido pelo </w:t>
      </w:r>
      <w:proofErr w:type="spellStart"/>
      <w:r>
        <w:rPr>
          <w:lang w:val="pt-BR"/>
        </w:rPr>
        <w:t>JavaDocs</w:t>
      </w:r>
      <w:proofErr w:type="spellEnd"/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Diagrama de Estados (para aqueles Objetos com mais de 3 estados).</w:t>
      </w:r>
      <w:r>
        <w:rPr>
          <w:lang w:val="pt-BR"/>
        </w:rPr>
        <w:t xml:space="preserve"> Documentação a ser produzida manualmente.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Diagrama de Sequência para todos os casos de uso de gestão (para consultas um só diagrama padrão é suficiente) ordenados por caso de uso.</w:t>
      </w:r>
      <w:r>
        <w:rPr>
          <w:lang w:val="pt-BR"/>
        </w:rPr>
        <w:t xml:space="preserve"> R</w:t>
      </w:r>
      <w:r w:rsidRPr="00046EFA">
        <w:rPr>
          <w:lang w:val="pt-BR"/>
        </w:rPr>
        <w:t xml:space="preserve">ecomendável </w:t>
      </w:r>
      <w:r>
        <w:rPr>
          <w:lang w:val="pt-BR"/>
        </w:rPr>
        <w:t>utilizar</w:t>
      </w:r>
      <w:r w:rsidRPr="00046EFA">
        <w:rPr>
          <w:lang w:val="pt-BR"/>
        </w:rPr>
        <w:t xml:space="preserve"> ferramenta de geração de documentação</w:t>
      </w:r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lastRenderedPageBreak/>
        <w:t xml:space="preserve">Diagrama de Classes de Domínio com atributos e métodos dividido por pacote (modelo, serviço, </w:t>
      </w:r>
      <w:proofErr w:type="spellStart"/>
      <w:r w:rsidRPr="001225E1">
        <w:rPr>
          <w:lang w:val="pt-BR"/>
        </w:rPr>
        <w:t>facade</w:t>
      </w:r>
      <w:proofErr w:type="spellEnd"/>
      <w:r w:rsidRPr="001225E1">
        <w:rPr>
          <w:lang w:val="pt-BR"/>
        </w:rPr>
        <w:t xml:space="preserve">, </w:t>
      </w:r>
      <w:proofErr w:type="spellStart"/>
      <w:r w:rsidRPr="001225E1">
        <w:rPr>
          <w:lang w:val="pt-BR"/>
        </w:rPr>
        <w:t>etc</w:t>
      </w:r>
      <w:proofErr w:type="spellEnd"/>
      <w:r w:rsidRPr="001225E1">
        <w:rPr>
          <w:lang w:val="pt-BR"/>
        </w:rPr>
        <w:t>)</w:t>
      </w:r>
      <w:r>
        <w:rPr>
          <w:lang w:val="pt-BR"/>
        </w:rPr>
        <w:t xml:space="preserve">. Atendido pelo </w:t>
      </w:r>
      <w:proofErr w:type="spellStart"/>
      <w:r>
        <w:rPr>
          <w:lang w:val="pt-BR"/>
        </w:rPr>
        <w:t>JavaDocs</w:t>
      </w:r>
      <w:proofErr w:type="spellEnd"/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 xml:space="preserve">Listagem de Classes externas usados </w:t>
      </w:r>
      <w:r>
        <w:rPr>
          <w:lang w:val="pt-BR"/>
        </w:rPr>
        <w:t>por</w:t>
      </w:r>
      <w:r w:rsidRPr="001225E1">
        <w:rPr>
          <w:lang w:val="pt-BR"/>
        </w:rPr>
        <w:t xml:space="preserve"> outros sistema</w:t>
      </w:r>
      <w:r>
        <w:rPr>
          <w:lang w:val="pt-BR"/>
        </w:rPr>
        <w:t>s</w:t>
      </w:r>
      <w:r w:rsidRPr="001225E1">
        <w:rPr>
          <w:lang w:val="pt-BR"/>
        </w:rPr>
        <w:t xml:space="preserve"> no</w:t>
      </w:r>
      <w:r>
        <w:rPr>
          <w:lang w:val="pt-BR"/>
        </w:rPr>
        <w:t>s</w:t>
      </w:r>
      <w:r w:rsidRPr="001225E1">
        <w:rPr>
          <w:lang w:val="pt-BR"/>
        </w:rPr>
        <w:t xml:space="preserve"> módulo</w:t>
      </w:r>
      <w:r>
        <w:rPr>
          <w:lang w:val="pt-BR"/>
        </w:rPr>
        <w:t xml:space="preserve">s de </w:t>
      </w:r>
      <w:r w:rsidRPr="001225E1">
        <w:rPr>
          <w:lang w:val="pt-BR"/>
        </w:rPr>
        <w:t xml:space="preserve">persistência, </w:t>
      </w:r>
      <w:r>
        <w:rPr>
          <w:lang w:val="pt-BR"/>
        </w:rPr>
        <w:t xml:space="preserve">ou </w:t>
      </w:r>
      <w:r w:rsidRPr="001225E1">
        <w:rPr>
          <w:lang w:val="pt-BR"/>
        </w:rPr>
        <w:t xml:space="preserve">segurança, </w:t>
      </w:r>
      <w:r>
        <w:rPr>
          <w:lang w:val="pt-BR"/>
        </w:rPr>
        <w:t xml:space="preserve">ou </w:t>
      </w:r>
      <w:r w:rsidRPr="001225E1">
        <w:rPr>
          <w:lang w:val="pt-BR"/>
        </w:rPr>
        <w:t xml:space="preserve">GED, </w:t>
      </w:r>
      <w:r>
        <w:rPr>
          <w:lang w:val="pt-BR"/>
        </w:rPr>
        <w:t xml:space="preserve">ou </w:t>
      </w:r>
      <w:r w:rsidRPr="001225E1">
        <w:rPr>
          <w:lang w:val="pt-BR"/>
        </w:rPr>
        <w:t xml:space="preserve">BPM, </w:t>
      </w:r>
      <w:r>
        <w:rPr>
          <w:lang w:val="pt-BR"/>
        </w:rPr>
        <w:t>ou outros</w:t>
      </w:r>
      <w:r w:rsidRPr="001225E1">
        <w:rPr>
          <w:lang w:val="pt-BR"/>
        </w:rPr>
        <w:t>).</w:t>
      </w:r>
      <w:r>
        <w:rPr>
          <w:lang w:val="pt-BR"/>
        </w:rPr>
        <w:t xml:space="preserve"> Atendido pelo </w:t>
      </w:r>
      <w:proofErr w:type="spellStart"/>
      <w:r>
        <w:rPr>
          <w:lang w:val="pt-BR"/>
        </w:rPr>
        <w:t>JavaDocs</w:t>
      </w:r>
      <w:proofErr w:type="spellEnd"/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Diagrama de Classes web por pacote, incluindo as telas do usuário final.</w:t>
      </w:r>
      <w:r>
        <w:rPr>
          <w:lang w:val="pt-BR"/>
        </w:rPr>
        <w:t xml:space="preserve"> Documentação a ser produzida manualmente.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Diagrama Entidade Relacionamento</w:t>
      </w:r>
      <w:r>
        <w:rPr>
          <w:lang w:val="pt-BR"/>
        </w:rPr>
        <w:t>. R</w:t>
      </w:r>
      <w:r w:rsidRPr="00046EFA">
        <w:rPr>
          <w:lang w:val="pt-BR"/>
        </w:rPr>
        <w:t xml:space="preserve">ecomendável </w:t>
      </w:r>
      <w:r>
        <w:rPr>
          <w:lang w:val="pt-BR"/>
        </w:rPr>
        <w:t>utilizar</w:t>
      </w:r>
      <w:r w:rsidRPr="00046EFA">
        <w:rPr>
          <w:lang w:val="pt-BR"/>
        </w:rPr>
        <w:t xml:space="preserve"> ferramenta de geração de documentação</w:t>
      </w:r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Listagem de Fluxos do Trabalho com Diagrama, detalhe de Atividade e Tarefas por Atividade.</w:t>
      </w:r>
      <w:r>
        <w:rPr>
          <w:lang w:val="pt-BR"/>
        </w:rPr>
        <w:t xml:space="preserve"> R</w:t>
      </w:r>
      <w:r w:rsidRPr="00046EFA">
        <w:rPr>
          <w:lang w:val="pt-BR"/>
        </w:rPr>
        <w:t xml:space="preserve">ecomendável </w:t>
      </w:r>
      <w:r>
        <w:rPr>
          <w:lang w:val="pt-BR"/>
        </w:rPr>
        <w:t>utilizar</w:t>
      </w:r>
      <w:r w:rsidRPr="00046EFA">
        <w:rPr>
          <w:lang w:val="pt-BR"/>
        </w:rPr>
        <w:t xml:space="preserve"> ferramenta de geração de documentação</w:t>
      </w:r>
      <w:r>
        <w:rPr>
          <w:lang w:val="pt-BR"/>
        </w:rPr>
        <w:t>.</w:t>
      </w:r>
    </w:p>
    <w:p w:rsidR="00F77732" w:rsidRPr="001225E1" w:rsidRDefault="00F77732" w:rsidP="00F77732">
      <w:pPr>
        <w:pStyle w:val="Corpodetexto"/>
        <w:keepLines w:val="0"/>
        <w:widowControl/>
        <w:numPr>
          <w:ilvl w:val="0"/>
          <w:numId w:val="23"/>
        </w:numPr>
        <w:autoSpaceDE/>
        <w:autoSpaceDN/>
        <w:spacing w:before="120"/>
        <w:jc w:val="both"/>
        <w:rPr>
          <w:lang w:val="pt-BR"/>
        </w:rPr>
      </w:pPr>
      <w:r w:rsidRPr="001225E1">
        <w:rPr>
          <w:lang w:val="pt-BR"/>
        </w:rPr>
        <w:t>Listagem de Documentos usados de GED com detalhe, atributos e índices usados.</w:t>
      </w:r>
      <w:r>
        <w:rPr>
          <w:lang w:val="pt-BR"/>
        </w:rPr>
        <w:t xml:space="preserve"> R</w:t>
      </w:r>
      <w:r w:rsidRPr="00046EFA">
        <w:rPr>
          <w:lang w:val="pt-BR"/>
        </w:rPr>
        <w:t xml:space="preserve">ecomendável </w:t>
      </w:r>
      <w:r>
        <w:rPr>
          <w:lang w:val="pt-BR"/>
        </w:rPr>
        <w:t>utilizar</w:t>
      </w:r>
      <w:r w:rsidRPr="00046EFA">
        <w:rPr>
          <w:lang w:val="pt-BR"/>
        </w:rPr>
        <w:t xml:space="preserve"> ferramenta de geração de documentação</w:t>
      </w:r>
      <w:r>
        <w:rPr>
          <w:lang w:val="pt-BR"/>
        </w:rPr>
        <w:t>.</w:t>
      </w:r>
    </w:p>
    <w:p w:rsidR="00932212" w:rsidRPr="008A6DC9" w:rsidRDefault="00AC53BF" w:rsidP="00AC53BF">
      <w:pPr>
        <w:jc w:val="both"/>
        <w:rPr>
          <w:lang w:val="pt-BR"/>
        </w:rPr>
      </w:pPr>
      <w:r>
        <w:rPr>
          <w:lang w:val="pt-BR"/>
        </w:rPr>
        <w:t xml:space="preserve">Informado pela </w:t>
      </w:r>
      <w:r w:rsidR="00940421" w:rsidRPr="00B334F3">
        <w:rPr>
          <w:lang w:val="pt-BR"/>
        </w:rPr>
        <w:t xml:space="preserve">NT Consult que </w:t>
      </w:r>
      <w:r>
        <w:rPr>
          <w:lang w:val="pt-BR"/>
        </w:rPr>
        <w:t xml:space="preserve">as </w:t>
      </w:r>
      <w:r w:rsidR="00940421" w:rsidRPr="00B334F3">
        <w:rPr>
          <w:lang w:val="pt-BR"/>
        </w:rPr>
        <w:t xml:space="preserve">tarefas relativas ao SOS serão entregues em três etapas, sendo: 1) Incluir campo para informar o número total de pontos de função da OS; Calcular automaticamente o prazo de fim da OS; e Liberar os campos de início e fim da OS para ser informados pelo usuário solicitante, para 27/04/2016; 2) Incluir as situações: Abertura, Início, Entrega do Plano, Entrega, Recebimento, Aceite, Termino, Garantia, Fim da Garantia, para 04/05/2016; e 3) Emitir o relatório mensal de acompanhamento das </w:t>
      </w:r>
      <w:proofErr w:type="spellStart"/>
      <w:r w:rsidR="00940421" w:rsidRPr="00B334F3">
        <w:rPr>
          <w:lang w:val="pt-BR"/>
        </w:rPr>
        <w:t>OSs</w:t>
      </w:r>
      <w:proofErr w:type="spellEnd"/>
      <w:r w:rsidR="00940421" w:rsidRPr="00B334F3">
        <w:rPr>
          <w:lang w:val="pt-BR"/>
        </w:rPr>
        <w:t>; e Emitir o</w:t>
      </w:r>
      <w:r w:rsidR="00940421">
        <w:rPr>
          <w:lang w:val="pt-BR"/>
        </w:rPr>
        <w:t xml:space="preserve"> relatório analítico de chamado</w:t>
      </w:r>
      <w:r w:rsidR="00940421" w:rsidRPr="00B334F3">
        <w:rPr>
          <w:lang w:val="pt-BR"/>
        </w:rPr>
        <w:t>, para 10/06/2016</w:t>
      </w:r>
      <w:r w:rsidR="00940421">
        <w:rPr>
          <w:lang w:val="pt-BR"/>
        </w:rPr>
        <w:t>.</w:t>
      </w:r>
      <w:r>
        <w:rPr>
          <w:lang w:val="pt-BR"/>
        </w:rPr>
        <w:t xml:space="preserve"> A</w:t>
      </w:r>
      <w:r w:rsidR="00932212">
        <w:rPr>
          <w:lang w:val="pt-BR"/>
        </w:rPr>
        <w:t xml:space="preserve"> primeira etapa r</w:t>
      </w:r>
      <w:r w:rsidR="00932212" w:rsidRPr="00B334F3">
        <w:rPr>
          <w:lang w:val="pt-BR"/>
        </w:rPr>
        <w:t xml:space="preserve">elativa </w:t>
      </w:r>
      <w:r w:rsidR="00932212">
        <w:rPr>
          <w:lang w:val="pt-BR"/>
        </w:rPr>
        <w:t xml:space="preserve">a customização do </w:t>
      </w:r>
      <w:r w:rsidR="00932212" w:rsidRPr="00B334F3">
        <w:rPr>
          <w:lang w:val="pt-BR"/>
        </w:rPr>
        <w:t xml:space="preserve">SOS </w:t>
      </w:r>
      <w:r w:rsidR="00932212">
        <w:rPr>
          <w:lang w:val="pt-BR"/>
        </w:rPr>
        <w:t xml:space="preserve">foi concluída e já </w:t>
      </w:r>
      <w:r>
        <w:rPr>
          <w:lang w:val="pt-BR"/>
        </w:rPr>
        <w:t>está</w:t>
      </w:r>
      <w:r w:rsidR="00932212">
        <w:rPr>
          <w:lang w:val="pt-BR"/>
        </w:rPr>
        <w:t xml:space="preserve"> disponível. </w:t>
      </w:r>
    </w:p>
    <w:p w:rsidR="00666778" w:rsidRPr="00C64F21" w:rsidRDefault="00C96B96" w:rsidP="00666778">
      <w:pPr>
        <w:jc w:val="both"/>
        <w:rPr>
          <w:lang w:val="pt-BR"/>
        </w:rPr>
      </w:pPr>
      <w:r w:rsidRPr="005A5267">
        <w:rPr>
          <w:lang w:val="pt-BR"/>
        </w:rPr>
        <w:t xml:space="preserve">Informado pela NT Consult que o disponibilização e configuração do ambiente interno da fábrica para o desenvolvimento </w:t>
      </w:r>
      <w:r w:rsidR="00AC53BF">
        <w:rPr>
          <w:lang w:val="pt-BR"/>
        </w:rPr>
        <w:t>foi concluído</w:t>
      </w:r>
      <w:r w:rsidR="00666778" w:rsidRPr="00C64F21">
        <w:rPr>
          <w:lang w:val="pt-BR"/>
        </w:rPr>
        <w:t>.</w:t>
      </w:r>
    </w:p>
    <w:p w:rsidR="00AC53BF" w:rsidRPr="000537EE" w:rsidRDefault="00AC53BF" w:rsidP="00AC53BF">
      <w:pPr>
        <w:jc w:val="both"/>
        <w:rPr>
          <w:lang w:val="pt-BR"/>
        </w:rPr>
      </w:pPr>
      <w:r>
        <w:rPr>
          <w:lang w:val="pt-BR"/>
        </w:rPr>
        <w:t xml:space="preserve">Enviado pela </w:t>
      </w:r>
      <w:r>
        <w:rPr>
          <w:lang w:val="pt-BR"/>
        </w:rPr>
        <w:t xml:space="preserve">NT Consult, no dia 19/04, os currículos </w:t>
      </w:r>
      <w:r>
        <w:rPr>
          <w:lang w:val="pt-BR"/>
        </w:rPr>
        <w:t xml:space="preserve">dos substitutos para a </w:t>
      </w:r>
      <w:r w:rsidRPr="000537EE">
        <w:rPr>
          <w:lang w:val="pt-BR"/>
        </w:rPr>
        <w:t xml:space="preserve">Equipe </w:t>
      </w:r>
      <w:r>
        <w:rPr>
          <w:lang w:val="pt-BR"/>
        </w:rPr>
        <w:t>C</w:t>
      </w:r>
      <w:r w:rsidRPr="000537EE">
        <w:rPr>
          <w:lang w:val="pt-BR"/>
        </w:rPr>
        <w:t xml:space="preserve">have </w:t>
      </w:r>
      <w:r>
        <w:rPr>
          <w:lang w:val="pt-BR"/>
        </w:rPr>
        <w:t>para ser validado</w:t>
      </w:r>
      <w:r>
        <w:rPr>
          <w:lang w:val="pt-BR"/>
        </w:rPr>
        <w:t xml:space="preserve"> e aprovado</w:t>
      </w:r>
      <w:r>
        <w:rPr>
          <w:lang w:val="pt-BR"/>
        </w:rPr>
        <w:t>.</w:t>
      </w:r>
    </w:p>
    <w:p w:rsidR="00AC53BF" w:rsidRPr="00E22A73" w:rsidRDefault="00AC53BF" w:rsidP="00AC53BF">
      <w:pPr>
        <w:jc w:val="both"/>
        <w:rPr>
          <w:lang w:val="pt-BR"/>
        </w:rPr>
      </w:pPr>
      <w:r>
        <w:rPr>
          <w:lang w:val="pt-BR"/>
        </w:rPr>
        <w:t>Informado pelo C</w:t>
      </w:r>
      <w:r w:rsidRPr="00E22A73">
        <w:rPr>
          <w:lang w:val="pt-BR"/>
        </w:rPr>
        <w:t xml:space="preserve">IAT </w:t>
      </w:r>
      <w:r>
        <w:rPr>
          <w:lang w:val="pt-BR"/>
        </w:rPr>
        <w:t>para questões de planejamento de alocação de recursos</w:t>
      </w:r>
      <w:r w:rsidRPr="00E22A73">
        <w:rPr>
          <w:lang w:val="pt-BR"/>
        </w:rPr>
        <w:t xml:space="preserve"> que deverá abrir várias OS com um volume total aproximado de 3.</w:t>
      </w:r>
      <w:r>
        <w:rPr>
          <w:lang w:val="pt-BR"/>
        </w:rPr>
        <w:t>424</w:t>
      </w:r>
      <w:r w:rsidRPr="00E22A73">
        <w:rPr>
          <w:lang w:val="pt-BR"/>
        </w:rPr>
        <w:t xml:space="preserve"> Pontos de Função até meados de junho de 2016, correspondentes aos processos previstos para a Primeira Onda de implementação que está prevista para iniciar a implantação até o fim deste ano. Os processos que compõem a Primeira Onda são Cadastro de Contribuinte (CCI com 836 PF); Arrecadação (ARR com 743 PF); Domicilio Eletrônico Fazendário (DEF com 189 PF); Gestão Equipamento Emissor de Cupom Fiscal (ECF com 1251 PF); e Serviços Transversais</w:t>
      </w:r>
      <w:r>
        <w:rPr>
          <w:lang w:val="pt-BR"/>
        </w:rPr>
        <w:t xml:space="preserve"> (</w:t>
      </w:r>
      <w:r w:rsidRPr="00E22A73">
        <w:rPr>
          <w:lang w:val="pt-BR"/>
        </w:rPr>
        <w:t xml:space="preserve">STR </w:t>
      </w:r>
      <w:r>
        <w:rPr>
          <w:lang w:val="pt-BR"/>
        </w:rPr>
        <w:t xml:space="preserve">com </w:t>
      </w:r>
      <w:r w:rsidRPr="00E22A73">
        <w:rPr>
          <w:lang w:val="pt-BR"/>
        </w:rPr>
        <w:t>408</w:t>
      </w:r>
      <w:r>
        <w:rPr>
          <w:lang w:val="pt-BR"/>
        </w:rPr>
        <w:t xml:space="preserve"> PF).</w:t>
      </w:r>
    </w:p>
    <w:p w:rsidR="006E13AA" w:rsidRDefault="00AC53BF" w:rsidP="006E13AA">
      <w:pPr>
        <w:jc w:val="both"/>
        <w:rPr>
          <w:lang w:val="pt-BR"/>
        </w:rPr>
      </w:pPr>
      <w:r>
        <w:rPr>
          <w:lang w:val="pt-BR"/>
        </w:rPr>
        <w:t>Atualizado p</w:t>
      </w:r>
      <w:r w:rsidR="00666778" w:rsidRPr="005A5267">
        <w:rPr>
          <w:lang w:val="pt-BR"/>
        </w:rPr>
        <w:t xml:space="preserve">ela NT Consult </w:t>
      </w:r>
      <w:r w:rsidR="00666778" w:rsidRPr="00C64F21">
        <w:rPr>
          <w:lang w:val="pt-BR"/>
        </w:rPr>
        <w:t xml:space="preserve">o </w:t>
      </w:r>
      <w:r w:rsidR="00666778">
        <w:rPr>
          <w:lang w:val="pt-BR"/>
        </w:rPr>
        <w:t xml:space="preserve">endereço do </w:t>
      </w:r>
      <w:r w:rsidR="00666778" w:rsidRPr="00C64F21">
        <w:rPr>
          <w:lang w:val="pt-BR"/>
        </w:rPr>
        <w:t xml:space="preserve">site de teste da </w:t>
      </w:r>
      <w:r w:rsidR="00ED39CA">
        <w:rPr>
          <w:lang w:val="pt-BR"/>
        </w:rPr>
        <w:t>Fábrica de Software</w:t>
      </w:r>
      <w:r w:rsidR="006E13AA">
        <w:rPr>
          <w:lang w:val="pt-BR"/>
        </w:rPr>
        <w:t xml:space="preserve"> </w:t>
      </w:r>
      <w:hyperlink r:id="rId9" w:history="1">
        <w:r w:rsidR="006E13AA" w:rsidRPr="00606251">
          <w:rPr>
            <w:rStyle w:val="Hyperlink"/>
            <w:lang w:val="pt-BR"/>
          </w:rPr>
          <w:t>http://177.39.184.50:9080/sat</w:t>
        </w:r>
      </w:hyperlink>
      <w:r w:rsidR="006E13AA">
        <w:rPr>
          <w:lang w:val="pt-BR"/>
        </w:rPr>
        <w:t xml:space="preserve">. </w:t>
      </w:r>
      <w:bookmarkStart w:id="0" w:name="_GoBack"/>
      <w:bookmarkEnd w:id="0"/>
    </w:p>
    <w:p w:rsidR="00B54FB0" w:rsidRDefault="00B54FB0" w:rsidP="00B54FB0">
      <w:pPr>
        <w:jc w:val="both"/>
        <w:rPr>
          <w:lang w:val="pt-BR"/>
        </w:rPr>
      </w:pPr>
    </w:p>
    <w:p w:rsidR="00B54FB0" w:rsidRPr="00592FDB" w:rsidRDefault="00B54FB0" w:rsidP="00B54FB0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  <w:lang w:val="pt-BR" w:eastAsia="pt-BR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A6C201C" wp14:editId="3118AF9C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4E79A" id="Group 14796" o:spid="_x0000_s1026" style="position:absolute;margin-left:28.3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B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b/>
          <w:color w:val="17365D"/>
          <w:sz w:val="28"/>
          <w:szCs w:val="28"/>
          <w:lang w:val="pt-BR"/>
        </w:rPr>
        <w:t>Atividades Referente a Ordens de Serviços</w:t>
      </w:r>
    </w:p>
    <w:p w:rsidR="00B54FB0" w:rsidRPr="00A83222" w:rsidRDefault="00B54FB0" w:rsidP="00B54FB0">
      <w:pPr>
        <w:jc w:val="both"/>
        <w:rPr>
          <w:lang w:val="pt-BR"/>
        </w:rPr>
      </w:pPr>
    </w:p>
    <w:p w:rsidR="00666778" w:rsidRDefault="00666778" w:rsidP="00666778">
      <w:pPr>
        <w:jc w:val="both"/>
        <w:rPr>
          <w:lang w:val="pt-BR"/>
        </w:rPr>
      </w:pPr>
      <w:r w:rsidRPr="00A83222">
        <w:rPr>
          <w:lang w:val="pt-BR"/>
        </w:rPr>
        <w:lastRenderedPageBreak/>
        <w:t>Ordem de serviço em execução na fábrica: OS 4721 - Produto Arrecadação - Subproduto Parametrização da Arrecadação - Versão (1.0)</w:t>
      </w:r>
      <w:r>
        <w:rPr>
          <w:lang w:val="pt-BR"/>
        </w:rPr>
        <w:t>.</w:t>
      </w:r>
      <w:r w:rsidR="006E13AA">
        <w:rPr>
          <w:lang w:val="pt-BR"/>
        </w:rPr>
        <w:t xml:space="preserve"> As dúvidas referentes aos casos de usos desta OS estão sendo registradas e respondidas via Mantis.</w:t>
      </w:r>
    </w:p>
    <w:p w:rsidR="00913205" w:rsidRDefault="00913205" w:rsidP="00913205">
      <w:pPr>
        <w:jc w:val="both"/>
        <w:rPr>
          <w:lang w:val="pt-BR"/>
        </w:rPr>
      </w:pPr>
      <w:r>
        <w:rPr>
          <w:lang w:val="pt-BR"/>
        </w:rPr>
        <w:t xml:space="preserve">Abertura da </w:t>
      </w:r>
      <w:r w:rsidRPr="00A83222">
        <w:rPr>
          <w:lang w:val="pt-BR"/>
        </w:rPr>
        <w:t xml:space="preserve">Ordem de </w:t>
      </w:r>
      <w:r>
        <w:rPr>
          <w:lang w:val="pt-BR"/>
        </w:rPr>
        <w:t>S</w:t>
      </w:r>
      <w:r w:rsidRPr="00A83222">
        <w:rPr>
          <w:lang w:val="pt-BR"/>
        </w:rPr>
        <w:t>erviço</w:t>
      </w:r>
      <w:r>
        <w:rPr>
          <w:lang w:val="pt-BR"/>
        </w:rPr>
        <w:t>:</w:t>
      </w:r>
      <w:r w:rsidRPr="00A83222">
        <w:rPr>
          <w:lang w:val="pt-BR"/>
        </w:rPr>
        <w:t xml:space="preserve"> OS 47</w:t>
      </w:r>
      <w:r>
        <w:rPr>
          <w:lang w:val="pt-BR"/>
        </w:rPr>
        <w:t>57</w:t>
      </w:r>
      <w:r w:rsidRPr="00A83222">
        <w:rPr>
          <w:lang w:val="pt-BR"/>
        </w:rPr>
        <w:t xml:space="preserve"> - </w:t>
      </w:r>
      <w:r w:rsidRPr="00913205">
        <w:rPr>
          <w:lang w:val="pt-BR"/>
        </w:rPr>
        <w:t>Produto Serviços Transversais - Subproduto Gestão de Segurança Básico Versão (1.0)</w:t>
      </w:r>
      <w:r>
        <w:rPr>
          <w:lang w:val="pt-BR"/>
        </w:rPr>
        <w:t>.</w:t>
      </w:r>
    </w:p>
    <w:p w:rsidR="00B54FB0" w:rsidRDefault="00B54FB0" w:rsidP="00B54FB0">
      <w:pPr>
        <w:jc w:val="both"/>
        <w:rPr>
          <w:lang w:val="pt-BR"/>
        </w:rPr>
      </w:pPr>
    </w:p>
    <w:p w:rsidR="00B54FB0" w:rsidRDefault="00B54FB0" w:rsidP="00B54FB0">
      <w:pPr>
        <w:rPr>
          <w:rFonts w:ascii="Arial" w:eastAsia="Arial" w:hAnsi="Arial" w:cs="Arial"/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  <w:lang w:val="pt-BR" w:eastAsia="pt-BR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AB653DC" wp14:editId="2FBBF34B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7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ADA47" id="Group 14796" o:spid="_x0000_s1026" style="position:absolute;margin-left:28.35pt;margin-top:2.85pt;width:432.55pt;height:16.15pt;z-index:-251653120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C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>Atividades Pendentes</w:t>
      </w:r>
    </w:p>
    <w:p w:rsidR="00B54FB0" w:rsidRPr="00B52D83" w:rsidRDefault="00B54FB0" w:rsidP="00B54FB0">
      <w:pPr>
        <w:jc w:val="both"/>
        <w:rPr>
          <w:lang w:val="pt-BR"/>
        </w:rPr>
      </w:pPr>
    </w:p>
    <w:tbl>
      <w:tblPr>
        <w:tblStyle w:val="SombreamentoClaro-nfase5"/>
        <w:tblW w:w="8640" w:type="dxa"/>
        <w:tblInd w:w="680" w:type="dxa"/>
        <w:tblBorders>
          <w:left w:val="single" w:sz="8" w:space="0" w:color="4472C4" w:themeColor="accent5"/>
          <w:right w:val="single" w:sz="4" w:space="0" w:color="8EAADB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975AD0" w:rsidRPr="00975AD0" w:rsidTr="00975AD0">
        <w:trPr>
          <w:tblHeader/>
        </w:trPr>
        <w:tc>
          <w:tcPr>
            <w:tcW w:w="8640" w:type="dxa"/>
            <w:gridSpan w:val="4"/>
            <w:tcBorders>
              <w:bottom w:val="single" w:sz="8" w:space="0" w:color="4472C4" w:themeColor="accent5"/>
            </w:tcBorders>
            <w:shd w:val="clear" w:color="auto" w:fill="8EAADB" w:themeFill="accent5" w:themeFillTint="99"/>
          </w:tcPr>
          <w:p w:rsidR="00975AD0" w:rsidRPr="00AA182C" w:rsidRDefault="00975AD0" w:rsidP="009B0FB0">
            <w:pPr>
              <w:spacing w:after="0"/>
              <w:ind w:left="0"/>
              <w:rPr>
                <w:b/>
                <w:lang w:val="pt-BR"/>
              </w:rPr>
            </w:pPr>
            <w:r w:rsidRPr="00AA182C">
              <w:rPr>
                <w:b/>
                <w:lang w:val="pt-BR"/>
              </w:rPr>
              <w:t>Itens de Ação e ou Problemas a Solucionar</w:t>
            </w:r>
          </w:p>
        </w:tc>
      </w:tr>
      <w:tr w:rsidR="00975AD0" w:rsidRPr="00AA182C" w:rsidTr="00975AD0">
        <w:trPr>
          <w:tblHeader/>
        </w:trPr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975AD0" w:rsidRPr="00AA182C" w:rsidRDefault="00975AD0" w:rsidP="009B0FB0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975AD0" w:rsidRPr="00AA182C" w:rsidRDefault="00975AD0" w:rsidP="009B0FB0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975AD0" w:rsidRPr="00AA182C" w:rsidRDefault="00975AD0" w:rsidP="009B0FB0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8EAADB" w:themeFill="accent5" w:themeFillTint="99"/>
          </w:tcPr>
          <w:p w:rsidR="00975AD0" w:rsidRPr="00AA182C" w:rsidRDefault="00975AD0" w:rsidP="009B0FB0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Data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 19/04/2016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 19/04/2016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04/05/2016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04/05/2016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10/06/2016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 19/04/2016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16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08/04/2016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975AD0" w:rsidRPr="00EC24E5" w:rsidTr="00975AD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975AD0" w:rsidRPr="00F11006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975AD0" w:rsidRPr="00EC24E5" w:rsidRDefault="00975AD0" w:rsidP="009B0FB0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27/04/2016</w:t>
            </w:r>
          </w:p>
        </w:tc>
      </w:tr>
    </w:tbl>
    <w:p w:rsidR="00975AD0" w:rsidRPr="00A83222" w:rsidRDefault="00975AD0" w:rsidP="00A83222">
      <w:pPr>
        <w:rPr>
          <w:lang w:val="pt-BR"/>
        </w:rPr>
      </w:pPr>
    </w:p>
    <w:sectPr w:rsidR="00975AD0" w:rsidRPr="00A83222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1E1" w:rsidRDefault="002761E1">
      <w:r>
        <w:separator/>
      </w:r>
    </w:p>
  </w:endnote>
  <w:endnote w:type="continuationSeparator" w:id="0">
    <w:p w:rsidR="002761E1" w:rsidRDefault="0027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1F108F" w:rsidRDefault="002761E1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3794676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6E13AA" w:rsidRPr="006E13AA">
      <w:rPr>
        <w:b/>
        <w:noProof/>
        <w:lang w:val="pt-BR"/>
      </w:rPr>
      <w:t>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1E1" w:rsidRDefault="002761E1">
      <w:r>
        <w:separator/>
      </w:r>
    </w:p>
  </w:footnote>
  <w:footnote w:type="continuationSeparator" w:id="0">
    <w:p w:rsidR="002761E1" w:rsidRDefault="0027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1E1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8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2"/>
  </w:num>
  <w:num w:numId="12">
    <w:abstractNumId w:val="11"/>
  </w:num>
  <w:num w:numId="13">
    <w:abstractNumId w:val="11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8"/>
  </w:num>
  <w:num w:numId="19">
    <w:abstractNumId w:val="11"/>
  </w:num>
  <w:num w:numId="20">
    <w:abstractNumId w:val="11"/>
  </w:num>
  <w:num w:numId="21">
    <w:abstractNumId w:val="11"/>
  </w:num>
  <w:num w:numId="22">
    <w:abstractNumId w:val="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745BF"/>
    <w:rsid w:val="00080AE7"/>
    <w:rsid w:val="00082FAD"/>
    <w:rsid w:val="000875D4"/>
    <w:rsid w:val="00095CD9"/>
    <w:rsid w:val="000F3269"/>
    <w:rsid w:val="00112A21"/>
    <w:rsid w:val="001167F1"/>
    <w:rsid w:val="001240E9"/>
    <w:rsid w:val="0013090F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2FF5"/>
    <w:rsid w:val="00256B37"/>
    <w:rsid w:val="002669D8"/>
    <w:rsid w:val="002700BE"/>
    <w:rsid w:val="002761E1"/>
    <w:rsid w:val="0028503E"/>
    <w:rsid w:val="002A1834"/>
    <w:rsid w:val="002A5630"/>
    <w:rsid w:val="002B45AA"/>
    <w:rsid w:val="002D68D6"/>
    <w:rsid w:val="002E2AFC"/>
    <w:rsid w:val="00302F2B"/>
    <w:rsid w:val="0031219B"/>
    <w:rsid w:val="00315707"/>
    <w:rsid w:val="00356107"/>
    <w:rsid w:val="00375521"/>
    <w:rsid w:val="00375A5E"/>
    <w:rsid w:val="00386805"/>
    <w:rsid w:val="003F1B0D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23B30"/>
    <w:rsid w:val="0063171B"/>
    <w:rsid w:val="006516CB"/>
    <w:rsid w:val="00666778"/>
    <w:rsid w:val="006A6045"/>
    <w:rsid w:val="006B074A"/>
    <w:rsid w:val="006B1C5D"/>
    <w:rsid w:val="006C1336"/>
    <w:rsid w:val="006C63AF"/>
    <w:rsid w:val="006D4D42"/>
    <w:rsid w:val="006E13AA"/>
    <w:rsid w:val="006E1426"/>
    <w:rsid w:val="00700CE4"/>
    <w:rsid w:val="00725CD0"/>
    <w:rsid w:val="00733580"/>
    <w:rsid w:val="00741E9E"/>
    <w:rsid w:val="0077726F"/>
    <w:rsid w:val="00785B7A"/>
    <w:rsid w:val="007902EA"/>
    <w:rsid w:val="00792FF3"/>
    <w:rsid w:val="007A6DD8"/>
    <w:rsid w:val="007D24FE"/>
    <w:rsid w:val="007E615A"/>
    <w:rsid w:val="007F0158"/>
    <w:rsid w:val="00800176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13205"/>
    <w:rsid w:val="00923E36"/>
    <w:rsid w:val="00926677"/>
    <w:rsid w:val="00932212"/>
    <w:rsid w:val="009345F9"/>
    <w:rsid w:val="00940421"/>
    <w:rsid w:val="0094558C"/>
    <w:rsid w:val="00947BCB"/>
    <w:rsid w:val="00975AD0"/>
    <w:rsid w:val="00977853"/>
    <w:rsid w:val="00982A1C"/>
    <w:rsid w:val="009D118F"/>
    <w:rsid w:val="009D43CD"/>
    <w:rsid w:val="009E0DCD"/>
    <w:rsid w:val="00A10A7B"/>
    <w:rsid w:val="00A17FD0"/>
    <w:rsid w:val="00A44BBB"/>
    <w:rsid w:val="00A71AC1"/>
    <w:rsid w:val="00A83222"/>
    <w:rsid w:val="00AA69FA"/>
    <w:rsid w:val="00AC53BF"/>
    <w:rsid w:val="00AD109F"/>
    <w:rsid w:val="00AD46A9"/>
    <w:rsid w:val="00AD7479"/>
    <w:rsid w:val="00AE050A"/>
    <w:rsid w:val="00AF3C08"/>
    <w:rsid w:val="00B36312"/>
    <w:rsid w:val="00B4782C"/>
    <w:rsid w:val="00B54FB0"/>
    <w:rsid w:val="00B75B57"/>
    <w:rsid w:val="00B8331A"/>
    <w:rsid w:val="00B9259D"/>
    <w:rsid w:val="00B938EB"/>
    <w:rsid w:val="00BB5E3C"/>
    <w:rsid w:val="00BB722C"/>
    <w:rsid w:val="00BE1A74"/>
    <w:rsid w:val="00BF1F5B"/>
    <w:rsid w:val="00BF5AE6"/>
    <w:rsid w:val="00C063DC"/>
    <w:rsid w:val="00C178BC"/>
    <w:rsid w:val="00C2723E"/>
    <w:rsid w:val="00C333D8"/>
    <w:rsid w:val="00C4141B"/>
    <w:rsid w:val="00C62C0D"/>
    <w:rsid w:val="00C66DEE"/>
    <w:rsid w:val="00C74EFE"/>
    <w:rsid w:val="00C80D41"/>
    <w:rsid w:val="00C96B96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65374"/>
    <w:rsid w:val="00D92227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135A4"/>
    <w:rsid w:val="00E15ABA"/>
    <w:rsid w:val="00E214EB"/>
    <w:rsid w:val="00E30261"/>
    <w:rsid w:val="00E518B1"/>
    <w:rsid w:val="00E63A82"/>
    <w:rsid w:val="00E87157"/>
    <w:rsid w:val="00EA4132"/>
    <w:rsid w:val="00EB43E7"/>
    <w:rsid w:val="00EB4603"/>
    <w:rsid w:val="00EB6CA8"/>
    <w:rsid w:val="00EC7AB4"/>
    <w:rsid w:val="00ED39CA"/>
    <w:rsid w:val="00EE04B2"/>
    <w:rsid w:val="00F125C7"/>
    <w:rsid w:val="00F17A77"/>
    <w:rsid w:val="00F34695"/>
    <w:rsid w:val="00F433F0"/>
    <w:rsid w:val="00F651C2"/>
    <w:rsid w:val="00F73DFB"/>
    <w:rsid w:val="00F77732"/>
    <w:rsid w:val="00F81499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ABA6A93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table" w:styleId="SombreamentoClaro-nfase5">
    <w:name w:val="Light Shading Accent 5"/>
    <w:basedOn w:val="Tabelanormal"/>
    <w:uiPriority w:val="60"/>
    <w:rsid w:val="00B54FB0"/>
    <w:rPr>
      <w:rFonts w:asciiTheme="minorHAnsi" w:eastAsiaTheme="minorEastAsia" w:hAnsiTheme="minorHAnsi" w:cstheme="minorBidi"/>
      <w:color w:val="2F5496" w:themeColor="accent5" w:themeShade="BF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7.39.184.50:9080/sat/docs/javadocs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177.39.184.50:9080/sa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F85D9-D636-42EB-81CB-EDDAFB7A4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47</TotalTime>
  <Pages>4</Pages>
  <Words>1092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6981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6</cp:revision>
  <cp:lastPrinted>2015-11-30T19:58:00Z</cp:lastPrinted>
  <dcterms:created xsi:type="dcterms:W3CDTF">2016-05-03T17:43:00Z</dcterms:created>
  <dcterms:modified xsi:type="dcterms:W3CDTF">2016-05-03T18:31:00Z</dcterms:modified>
</cp:coreProperties>
</file>