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140701">
        <w:rPr>
          <w:b/>
          <w:sz w:val="28"/>
          <w:szCs w:val="28"/>
        </w:rPr>
        <w:t>15</w:t>
      </w:r>
      <w:r w:rsidRPr="002336D0">
        <w:rPr>
          <w:b/>
          <w:sz w:val="28"/>
          <w:szCs w:val="28"/>
        </w:rPr>
        <w:t>/</w:t>
      </w:r>
      <w:r w:rsidR="00140701">
        <w:rPr>
          <w:b/>
          <w:sz w:val="28"/>
          <w:szCs w:val="28"/>
        </w:rPr>
        <w:t>Set</w:t>
      </w:r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>Boletim de acompanhamento das principais atividades do CIAT e da NT Consult referente a atividades de gerenciamento do relacionamento com a Fábrica de Software no período de 01</w:t>
      </w:r>
      <w:r w:rsidR="00140701">
        <w:t xml:space="preserve"> de agosto</w:t>
      </w:r>
      <w:r w:rsidRPr="002336D0">
        <w:t xml:space="preserve"> a </w:t>
      </w:r>
      <w:r w:rsidR="00140701">
        <w:t>15</w:t>
      </w:r>
      <w:r w:rsidRPr="002336D0">
        <w:t xml:space="preserve"> de </w:t>
      </w:r>
      <w:r w:rsidR="00140701">
        <w:t>setembro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7E0B7E" w:rsidRDefault="007E0B7E" w:rsidP="007E0B7E">
      <w:pPr>
        <w:jc w:val="both"/>
      </w:pPr>
      <w:r>
        <w:t xml:space="preserve">Realizado reuniões presencial </w:t>
      </w:r>
      <w:r w:rsidR="007A37B5">
        <w:t xml:space="preserve">com a NT Consult </w:t>
      </w:r>
      <w:r>
        <w:t>no período de 16 a 18/08, durante estas reuniões se revisou o andamento das OS em execução, apresentou os processos de Cadastro e ECF, e também foi feita uma revisão na implementação da arquitetura.</w:t>
      </w:r>
    </w:p>
    <w:p w:rsidR="00803623" w:rsidRDefault="00803623" w:rsidP="007E0B7E">
      <w:pPr>
        <w:jc w:val="both"/>
      </w:pPr>
      <w:r>
        <w:t>A NT Consult solicitou que as reuniões para validação e aprovação da autorização para o faturamento fossem realizadas duas vezes por mês.</w:t>
      </w:r>
    </w:p>
    <w:p w:rsidR="007E0B7E" w:rsidRDefault="007E0B7E" w:rsidP="007E0B7E">
      <w:pPr>
        <w:jc w:val="both"/>
      </w:pPr>
      <w:r>
        <w:t>O Ambiente de teste montado pelo CIAT com contingencia até a disponibilização dos equipamentos definitivos para instalação e configuração dos ambientes de testes não está mais suportando a recepção das OS entregues pela Fábrica de Software e execução dos testes está muito morosa, afetando o prazo estimado para a etapa de aceite. Neste ambiente não está sendo possível executar os testes relacionados com o acesso seguro a base de usuários, pois não está sendo possível configurar um certificado digital valido no LDAP (AD).</w:t>
      </w:r>
      <w:r w:rsidR="00803623">
        <w:t xml:space="preserve"> A STI já disponibilizou outros equipamentos para a montagem de um novo ambiente de teste dentro do data center da SEFAZ-TO.</w:t>
      </w:r>
      <w:bookmarkStart w:id="0" w:name="_GoBack"/>
      <w:bookmarkEnd w:id="0"/>
    </w:p>
    <w:p w:rsidR="007E0B7E" w:rsidRDefault="00FA5222" w:rsidP="007E0B7E">
      <w:pPr>
        <w:jc w:val="both"/>
      </w:pPr>
      <w:r>
        <w:t>A</w:t>
      </w:r>
      <w:r w:rsidR="007E0B7E">
        <w:t xml:space="preserve"> STI </w:t>
      </w:r>
      <w:r>
        <w:t xml:space="preserve">indicou o colaborador </w:t>
      </w:r>
      <w:r w:rsidRPr="00FA5222">
        <w:t xml:space="preserve">Frederico </w:t>
      </w:r>
      <w:r>
        <w:t>d</w:t>
      </w:r>
      <w:r w:rsidRPr="00FA5222">
        <w:t>a Silva Santos</w:t>
      </w:r>
      <w:r>
        <w:t xml:space="preserve"> para acompanhar o processo de Gestão de OS junto a Fábrica de Software, com o objetivo de repasse de conhecimento de gestão de desenvolvimento utilizando Fábrica de Software.</w:t>
      </w:r>
    </w:p>
    <w:p w:rsidR="007254E1" w:rsidRDefault="00FA5222" w:rsidP="007E0B7E">
      <w:pPr>
        <w:jc w:val="both"/>
      </w:pPr>
      <w:r>
        <w:t>O CIAT a</w:t>
      </w:r>
      <w:r w:rsidR="007E0B7E">
        <w:t>mpli</w:t>
      </w:r>
      <w:r>
        <w:t xml:space="preserve">ou </w:t>
      </w:r>
      <w:r w:rsidR="007E0B7E">
        <w:t xml:space="preserve">a equipe </w:t>
      </w:r>
      <w:r>
        <w:t xml:space="preserve">de consultores </w:t>
      </w:r>
      <w:r w:rsidR="007E0B7E">
        <w:t xml:space="preserve">com mais 3 analistas de sistemas da NT Consult para elaborar os Casos de Usos de Sistema com base nos Casos de Usos de </w:t>
      </w:r>
      <w:r>
        <w:t>Negócios</w:t>
      </w:r>
      <w:r w:rsidR="007E0B7E">
        <w:t xml:space="preserve"> elaborados pelos consultores do CIAT</w:t>
      </w:r>
      <w:r>
        <w:t>, como parte um plano de acelerar a entregas dos casos de usos para a Fábrica de Software</w:t>
      </w:r>
      <w:r w:rsidR="007E0B7E">
        <w:t xml:space="preserve">. E também mais 2 </w:t>
      </w:r>
      <w:r>
        <w:t>analistas</w:t>
      </w:r>
      <w:r w:rsidR="007E0B7E">
        <w:t xml:space="preserve"> de testes </w:t>
      </w:r>
      <w:r>
        <w:t xml:space="preserve">da NT Consult </w:t>
      </w:r>
      <w:r w:rsidR="007E0B7E">
        <w:t>para elaboração dos Planos de Testes e Casos de Testes.</w:t>
      </w:r>
      <w:r>
        <w:t xml:space="preserve"> </w:t>
      </w:r>
    </w:p>
    <w:p w:rsidR="007E0B7E" w:rsidRPr="002336D0" w:rsidRDefault="007E0B7E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BE1DDD" w:rsidRDefault="00600C6F" w:rsidP="00BE1DDD">
      <w:pPr>
        <w:jc w:val="both"/>
      </w:pPr>
      <w:r w:rsidRPr="002336D0">
        <w:t xml:space="preserve">Ordem de serviço </w:t>
      </w:r>
      <w:r w:rsidR="00D217F5">
        <w:t>recebida</w:t>
      </w:r>
      <w:r w:rsidRPr="002336D0">
        <w:t>: OS 4721 - Produto Arrecadação - Subproduto Parametrização da Arrecadação - Versão (1.0)</w:t>
      </w:r>
      <w:r w:rsidR="00803B5E" w:rsidRPr="002336D0">
        <w:t xml:space="preserve">, em </w:t>
      </w:r>
      <w:r w:rsidR="00D217F5">
        <w:t>15</w:t>
      </w:r>
      <w:r w:rsidR="00803B5E" w:rsidRPr="002336D0">
        <w:t>/0</w:t>
      </w:r>
      <w:r w:rsidR="00D217F5">
        <w:t>9</w:t>
      </w:r>
      <w:r w:rsidR="00803B5E" w:rsidRPr="002336D0">
        <w:t xml:space="preserve">/2016. </w:t>
      </w:r>
      <w:r w:rsidR="00BE1DDD">
        <w:t xml:space="preserve">OS tinha sido devolvida em 30/08/2016, por ter </w:t>
      </w:r>
      <w:r w:rsidR="00BE1DDD">
        <w:lastRenderedPageBreak/>
        <w:t>sido encontrados 20 Inconformidade durantes o Ciclo de Testes da Versão 1.2.2, sendo 7 Não Graves e 13 Graves.</w:t>
      </w:r>
      <w:r w:rsidR="00D217F5">
        <w:t xml:space="preserve"> E foi entregue novamente em 31/08/2016.</w:t>
      </w:r>
    </w:p>
    <w:p w:rsidR="00BE1DDD" w:rsidRDefault="00BE1DDD" w:rsidP="00BE1DDD">
      <w:pPr>
        <w:jc w:val="both"/>
      </w:pPr>
    </w:p>
    <w:p w:rsidR="00BE1DDD" w:rsidRDefault="00BE1DDD" w:rsidP="00BE1DDD">
      <w:pPr>
        <w:jc w:val="both"/>
      </w:pPr>
      <w:r w:rsidRPr="002336D0">
        <w:t xml:space="preserve">Ordem de serviço </w:t>
      </w:r>
      <w:r w:rsidR="00D217F5">
        <w:t>recebida</w:t>
      </w:r>
      <w:r w:rsidRPr="002336D0">
        <w:t>: OS 4757 - Produto Serviços Transversais - Subproduto Gestão de Segurança Básico Versão (1.0)</w:t>
      </w:r>
      <w:r>
        <w:t>,</w:t>
      </w:r>
      <w:r w:rsidRPr="002336D0">
        <w:t xml:space="preserve"> em </w:t>
      </w:r>
      <w:r w:rsidR="00D217F5">
        <w:t>18</w:t>
      </w:r>
      <w:r w:rsidRPr="002336D0">
        <w:t>/0</w:t>
      </w:r>
      <w:r w:rsidR="00D217F5">
        <w:t>8</w:t>
      </w:r>
      <w:r w:rsidRPr="002336D0">
        <w:t>/2016.</w:t>
      </w:r>
      <w:r>
        <w:t xml:space="preserve"> </w:t>
      </w:r>
      <w:r w:rsidR="00D217F5">
        <w:t>O Termo de Recebimento foi assinado em 18/08/2016.</w:t>
      </w:r>
    </w:p>
    <w:p w:rsidR="00BE1DDD" w:rsidRDefault="00BE1DDD" w:rsidP="00BE1DDD">
      <w:pPr>
        <w:jc w:val="both"/>
      </w:pPr>
    </w:p>
    <w:p w:rsidR="00B33579" w:rsidRDefault="00E93402" w:rsidP="00D643DA">
      <w:pPr>
        <w:jc w:val="both"/>
      </w:pPr>
      <w:r w:rsidRPr="00C30C12">
        <w:t xml:space="preserve">Ordem de serviço </w:t>
      </w:r>
      <w:r w:rsidR="00D643DA">
        <w:t>recebida</w:t>
      </w:r>
      <w:r w:rsidR="00803B5E" w:rsidRPr="002336D0">
        <w:t>: OS 47</w:t>
      </w:r>
      <w:r w:rsidR="009E34DD" w:rsidRPr="002336D0"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490336">
        <w:t>,</w:t>
      </w:r>
      <w:r w:rsidR="009E34DD" w:rsidRPr="002336D0">
        <w:t xml:space="preserve"> </w:t>
      </w:r>
      <w:r w:rsidR="00490336">
        <w:t xml:space="preserve">em </w:t>
      </w:r>
      <w:r w:rsidR="00D643DA">
        <w:t>15</w:t>
      </w:r>
      <w:r w:rsidR="009E34DD" w:rsidRPr="002336D0">
        <w:t>/0</w:t>
      </w:r>
      <w:r w:rsidR="00D643DA">
        <w:t>9</w:t>
      </w:r>
      <w:r w:rsidR="009E34DD" w:rsidRPr="002336D0">
        <w:t>/2016</w:t>
      </w:r>
      <w:r w:rsidR="00D70969">
        <w:t>.</w:t>
      </w:r>
      <w:r w:rsidR="00D643DA">
        <w:t xml:space="preserve"> Houve a necessidade de publicar novas versões dos casos de usos, e recontagem dos pontos de função. A OS foi entregue em 2</w:t>
      </w:r>
      <w:r w:rsidR="004D710E">
        <w:t>5</w:t>
      </w:r>
      <w:r w:rsidR="00D643DA">
        <w:t xml:space="preserve">/08/2016 e o Termo de Recebimento da OS foi assinado em 15/09/2016. </w:t>
      </w:r>
    </w:p>
    <w:p w:rsidR="00D643DA" w:rsidRPr="002336D0" w:rsidRDefault="00D643DA" w:rsidP="00B33579">
      <w:pPr>
        <w:jc w:val="both"/>
      </w:pPr>
    </w:p>
    <w:p w:rsidR="004D710E" w:rsidRDefault="00C30C12" w:rsidP="004D710E">
      <w:pPr>
        <w:jc w:val="both"/>
      </w:pPr>
      <w:r w:rsidRPr="00C30C12">
        <w:t xml:space="preserve">Ordem de serviço </w:t>
      </w:r>
      <w:r w:rsidR="004D710E">
        <w:t>recebida</w:t>
      </w:r>
      <w:r w:rsidR="00803B5E" w:rsidRPr="002336D0">
        <w:t>: OS 47</w:t>
      </w:r>
      <w:r w:rsidR="009E34DD" w:rsidRPr="002336D0"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AA58C4">
        <w:t>,</w:t>
      </w:r>
      <w:r w:rsidR="00F52C00" w:rsidRPr="002336D0">
        <w:t xml:space="preserve"> </w:t>
      </w:r>
      <w:r w:rsidRPr="00C30C12">
        <w:t xml:space="preserve">em </w:t>
      </w:r>
      <w:r w:rsidR="004D710E">
        <w:t>15</w:t>
      </w:r>
      <w:r w:rsidR="00F52C00" w:rsidRPr="002336D0">
        <w:t>/0</w:t>
      </w:r>
      <w:r w:rsidR="004D710E">
        <w:t>9</w:t>
      </w:r>
      <w:r w:rsidR="00F52C00" w:rsidRPr="002336D0">
        <w:t>/2016.</w:t>
      </w:r>
      <w:r w:rsidR="00AA58C4">
        <w:t xml:space="preserve"> </w:t>
      </w:r>
      <w:r w:rsidR="004D710E">
        <w:t xml:space="preserve">Houve a necessidade de publicar novas versões dos casos de usos, e recontagem dos pontos de função. A OS foi entregue em 25/08/2016 e o Termo de Recebimento da OS foi assinado em 15/09/2016. </w:t>
      </w:r>
    </w:p>
    <w:p w:rsidR="00B33579" w:rsidRDefault="00B33579" w:rsidP="00056837">
      <w:pPr>
        <w:jc w:val="both"/>
      </w:pPr>
    </w:p>
    <w:p w:rsidR="00D70969" w:rsidRDefault="00C30C12" w:rsidP="00C30C12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="00D70969" w:rsidRPr="00D70969">
        <w:t xml:space="preserve"> </w:t>
      </w:r>
      <w:r w:rsidR="00332D49">
        <w:t>recebida</w:t>
      </w:r>
      <w:r>
        <w:t>:</w:t>
      </w:r>
      <w:r w:rsidRPr="00A83222">
        <w:t xml:space="preserve"> OS 47</w:t>
      </w:r>
      <w:r>
        <w:t>82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 w:rsidR="00332D49">
        <w:t>, em 15/09/2016</w:t>
      </w:r>
      <w:r>
        <w:t>.</w:t>
      </w:r>
      <w:r w:rsidR="00332D49" w:rsidRPr="00332D49">
        <w:t xml:space="preserve"> </w:t>
      </w:r>
      <w:r w:rsidR="00332D49">
        <w:t>Houve a necessidade de publicar novas versões dos casos de usos, e recontagem dos pontos de função. A OS foi entregue em 09/09/2016 e o Termo de Recebimento da OS foi assinado em 15/09/2016.</w:t>
      </w:r>
    </w:p>
    <w:p w:rsidR="00332D49" w:rsidRDefault="00332D49" w:rsidP="00C30C12">
      <w:pPr>
        <w:jc w:val="both"/>
      </w:pPr>
    </w:p>
    <w:p w:rsidR="00332D49" w:rsidRDefault="00332D49" w:rsidP="00332D49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 w:rsidRPr="00C30C12">
        <w:t>em execução na fábrica</w:t>
      </w:r>
      <w:r w:rsidR="00C30C12">
        <w:t>:</w:t>
      </w:r>
      <w:r w:rsidR="00C30C12" w:rsidRPr="00A83222">
        <w:t xml:space="preserve"> OS 47</w:t>
      </w:r>
      <w:r w:rsidR="00C30C12">
        <w:t>97</w:t>
      </w:r>
      <w:r w:rsidR="00C30C12" w:rsidRPr="00A83222">
        <w:t xml:space="preserve"> - </w:t>
      </w:r>
      <w:r w:rsidR="00C30C12" w:rsidRPr="00C30C12">
        <w:t xml:space="preserve">Produto Arrecadação - Subproduto </w:t>
      </w:r>
      <w:proofErr w:type="spellStart"/>
      <w:r w:rsidR="00C30C12" w:rsidRPr="00C30C12">
        <w:t>DARE-e</w:t>
      </w:r>
      <w:proofErr w:type="spellEnd"/>
      <w:r w:rsidR="00C30C12" w:rsidRPr="00C30C12">
        <w:t xml:space="preserve"> Versão (1.0)</w:t>
      </w:r>
      <w:r w:rsidR="00AA58C4">
        <w:t>, paralisada</w:t>
      </w:r>
      <w:r w:rsidR="00AA58C4" w:rsidRPr="00C30C12">
        <w:t xml:space="preserve"> em </w:t>
      </w:r>
      <w:r w:rsidR="00AA58C4">
        <w:t>20</w:t>
      </w:r>
      <w:r w:rsidR="00AA58C4" w:rsidRPr="002336D0">
        <w:t>/0</w:t>
      </w:r>
      <w:r w:rsidR="00AA58C4">
        <w:t>7</w:t>
      </w:r>
      <w:r w:rsidR="00AA58C4" w:rsidRPr="002336D0">
        <w:t>/2016.</w:t>
      </w:r>
      <w:r>
        <w:t xml:space="preserve"> </w:t>
      </w:r>
      <w:r w:rsidRPr="00C30C12">
        <w:t xml:space="preserve">Data prevista para entrega em </w:t>
      </w:r>
      <w:r>
        <w:t>29</w:t>
      </w:r>
      <w:r w:rsidRPr="002336D0">
        <w:t>/0</w:t>
      </w:r>
      <w:r>
        <w:t>9</w:t>
      </w:r>
      <w:r w:rsidRPr="002336D0">
        <w:t>/2016</w:t>
      </w:r>
      <w:r>
        <w:t>. Houve a necessidade de publicar novas versões dos casos de usos, a Fábrica de Software está avaliando a necessidade de recontagem dos pontos de função.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 w:rsidRPr="00C30C12">
        <w:t>em execução na fábrica</w:t>
      </w:r>
      <w:r>
        <w:t>:</w:t>
      </w:r>
      <w:r w:rsidRPr="00A83222">
        <w:t xml:space="preserve"> OS 4</w:t>
      </w:r>
      <w:r>
        <w:t>808</w:t>
      </w:r>
      <w:r w:rsidRPr="00A83222">
        <w:t xml:space="preserve"> - </w:t>
      </w:r>
      <w:r w:rsidRPr="00332D49">
        <w:t>Produto Sistema Tributário - ECF - Processamento dos Movimentos dos Equipamento ECF Versão (1.0)</w:t>
      </w:r>
      <w:r w:rsidRPr="002336D0">
        <w:t>.</w:t>
      </w:r>
      <w:r>
        <w:t xml:space="preserve"> </w:t>
      </w:r>
      <w:r w:rsidRPr="00C30C12">
        <w:t xml:space="preserve">Data prevista para entrega em </w:t>
      </w:r>
      <w:r>
        <w:t>19</w:t>
      </w:r>
      <w:r w:rsidRPr="002336D0">
        <w:t>/</w:t>
      </w:r>
      <w:r>
        <w:t>10</w:t>
      </w:r>
      <w:r w:rsidRPr="002336D0">
        <w:t>/2016</w:t>
      </w:r>
      <w:r>
        <w:t>. Houve a necessidade de publicar novas versões dos casos de usos.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C30C12">
        <w:t xml:space="preserve">Ordem de serviço </w:t>
      </w:r>
      <w:r>
        <w:t>paralisada</w:t>
      </w:r>
      <w:r w:rsidRPr="002336D0">
        <w:t xml:space="preserve">: OS </w:t>
      </w:r>
      <w:r>
        <w:t>4809</w:t>
      </w:r>
      <w:r w:rsidRPr="002336D0">
        <w:t xml:space="preserve"> - </w:t>
      </w:r>
      <w:r w:rsidRPr="00332D49">
        <w:t>Produto Sistema Tributário - Cadastro - Solicitar Cadastramento e Alteração de Substituto Tributário, Canteiro de Obras e Produtor Rural Versão (1.0)</w:t>
      </w:r>
      <w:r>
        <w:t>,</w:t>
      </w:r>
      <w:r w:rsidRPr="002336D0">
        <w:t xml:space="preserve"> </w:t>
      </w:r>
      <w:r>
        <w:t>paralisada</w:t>
      </w:r>
      <w:r w:rsidRPr="00C30C12">
        <w:t xml:space="preserve"> em </w:t>
      </w:r>
      <w:r>
        <w:t>22</w:t>
      </w:r>
      <w:r w:rsidRPr="002336D0">
        <w:t>/0</w:t>
      </w:r>
      <w:r>
        <w:t>8</w:t>
      </w:r>
      <w:r w:rsidRPr="002336D0">
        <w:t>/2016.</w:t>
      </w:r>
      <w:r>
        <w:t xml:space="preserve"> </w:t>
      </w:r>
      <w:proofErr w:type="gramStart"/>
      <w:r w:rsidRPr="00332D49">
        <w:t>OS paralisada</w:t>
      </w:r>
      <w:proofErr w:type="gramEnd"/>
      <w:r w:rsidRPr="00332D49">
        <w:t xml:space="preserve"> para revisar as especificações com relação: completar a especificação com o detalhamento do </w:t>
      </w:r>
      <w:proofErr w:type="spellStart"/>
      <w:r w:rsidRPr="00332D49">
        <w:t>schema</w:t>
      </w:r>
      <w:proofErr w:type="spellEnd"/>
      <w:r w:rsidRPr="00332D49">
        <w:t xml:space="preserve"> do XML dos Web Services da Receita Federal, do CRC-TO e da </w:t>
      </w:r>
      <w:proofErr w:type="spellStart"/>
      <w:r w:rsidRPr="00332D49">
        <w:t>Jucetins</w:t>
      </w:r>
      <w:proofErr w:type="spellEnd"/>
      <w:r w:rsidRPr="00332D49">
        <w:t xml:space="preserve">; adequar as especificações as diretivas da arquitetura de sistemas quanto a utilização e manipulação de documentos; ajustar os nomes das tabelas de Parâmetros Gerais no modelo de dados; acrescentar o diagrama do </w:t>
      </w:r>
      <w:r>
        <w:t>relacionamento dos casos de uso.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A83222">
        <w:lastRenderedPageBreak/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>
        <w:t>recebida:</w:t>
      </w:r>
      <w:r w:rsidRPr="00A83222">
        <w:t xml:space="preserve"> OS </w:t>
      </w:r>
      <w:r>
        <w:t>4810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>
        <w:t>, em 15/09/2016.</w:t>
      </w:r>
      <w:r w:rsidRPr="00332D49">
        <w:t xml:space="preserve"> </w:t>
      </w:r>
      <w:r>
        <w:t>Houve a necessidade de publicar novas versões dos casos de usos, e recontagem dos pontos de função. A OS foi entregue em 09/09/2016 e o Termo de Recebimento da OS foi assinado em 15/09/2016.</w:t>
      </w:r>
    </w:p>
    <w:p w:rsidR="00332D49" w:rsidRPr="002336D0" w:rsidRDefault="00332D49" w:rsidP="00332D49">
      <w:pPr>
        <w:jc w:val="both"/>
      </w:pPr>
    </w:p>
    <w:p w:rsidR="00332D49" w:rsidRDefault="00332D49" w:rsidP="00C30C12">
      <w:pPr>
        <w:jc w:val="both"/>
      </w:pP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C67F37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F2443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B0" w:rsidRDefault="00C675B0" w:rsidP="00924102">
      <w:r>
        <w:separator/>
      </w:r>
    </w:p>
  </w:endnote>
  <w:endnote w:type="continuationSeparator" w:id="0">
    <w:p w:rsidR="00C675B0" w:rsidRDefault="00C675B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362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675B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81103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B0" w:rsidRDefault="00C675B0" w:rsidP="00924102">
      <w:r>
        <w:separator/>
      </w:r>
    </w:p>
  </w:footnote>
  <w:footnote w:type="continuationSeparator" w:id="0">
    <w:p w:rsidR="00C675B0" w:rsidRDefault="00C675B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E4B94"/>
    <w:rsid w:val="000F2048"/>
    <w:rsid w:val="00140701"/>
    <w:rsid w:val="00156475"/>
    <w:rsid w:val="00190557"/>
    <w:rsid w:val="001F6161"/>
    <w:rsid w:val="00225F52"/>
    <w:rsid w:val="002336D0"/>
    <w:rsid w:val="00297376"/>
    <w:rsid w:val="00313213"/>
    <w:rsid w:val="00332D49"/>
    <w:rsid w:val="00361C62"/>
    <w:rsid w:val="00377AAA"/>
    <w:rsid w:val="00385638"/>
    <w:rsid w:val="003D1AD3"/>
    <w:rsid w:val="0043338A"/>
    <w:rsid w:val="00480E00"/>
    <w:rsid w:val="00490336"/>
    <w:rsid w:val="004D710E"/>
    <w:rsid w:val="004E2061"/>
    <w:rsid w:val="004F14A2"/>
    <w:rsid w:val="00556919"/>
    <w:rsid w:val="005975CA"/>
    <w:rsid w:val="005A63C9"/>
    <w:rsid w:val="005A70B8"/>
    <w:rsid w:val="00600C6F"/>
    <w:rsid w:val="006153D7"/>
    <w:rsid w:val="006452AE"/>
    <w:rsid w:val="0069563D"/>
    <w:rsid w:val="006D3813"/>
    <w:rsid w:val="006F0BB4"/>
    <w:rsid w:val="007254E1"/>
    <w:rsid w:val="00774113"/>
    <w:rsid w:val="00783B8C"/>
    <w:rsid w:val="007A37B5"/>
    <w:rsid w:val="007B786B"/>
    <w:rsid w:val="007D2016"/>
    <w:rsid w:val="007D2B59"/>
    <w:rsid w:val="007D2D08"/>
    <w:rsid w:val="007E0B7E"/>
    <w:rsid w:val="00803623"/>
    <w:rsid w:val="00803B5E"/>
    <w:rsid w:val="008A4D56"/>
    <w:rsid w:val="008F2C7A"/>
    <w:rsid w:val="00924102"/>
    <w:rsid w:val="00925F56"/>
    <w:rsid w:val="00960027"/>
    <w:rsid w:val="009856A5"/>
    <w:rsid w:val="009E34DD"/>
    <w:rsid w:val="009E710D"/>
    <w:rsid w:val="009E793E"/>
    <w:rsid w:val="00A000B3"/>
    <w:rsid w:val="00A74901"/>
    <w:rsid w:val="00A97376"/>
    <w:rsid w:val="00AA58C4"/>
    <w:rsid w:val="00B33579"/>
    <w:rsid w:val="00BE1DDD"/>
    <w:rsid w:val="00BE3426"/>
    <w:rsid w:val="00BF2443"/>
    <w:rsid w:val="00C30C12"/>
    <w:rsid w:val="00C675B0"/>
    <w:rsid w:val="00C67F37"/>
    <w:rsid w:val="00CE168C"/>
    <w:rsid w:val="00CF5322"/>
    <w:rsid w:val="00D159F1"/>
    <w:rsid w:val="00D217F5"/>
    <w:rsid w:val="00D44690"/>
    <w:rsid w:val="00D643DA"/>
    <w:rsid w:val="00D70969"/>
    <w:rsid w:val="00DD2D3E"/>
    <w:rsid w:val="00DD2F70"/>
    <w:rsid w:val="00E93402"/>
    <w:rsid w:val="00F17486"/>
    <w:rsid w:val="00F409A8"/>
    <w:rsid w:val="00F52C00"/>
    <w:rsid w:val="00F77767"/>
    <w:rsid w:val="00F96C01"/>
    <w:rsid w:val="00FA522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9F13CA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9</cp:revision>
  <cp:lastPrinted>2016-07-04T17:59:00Z</cp:lastPrinted>
  <dcterms:created xsi:type="dcterms:W3CDTF">2016-09-19T19:09:00Z</dcterms:created>
  <dcterms:modified xsi:type="dcterms:W3CDTF">2016-09-19T20:24:00Z</dcterms:modified>
</cp:coreProperties>
</file>