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0429AF" w:rsidP="006B55E2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27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="006B55E2">
              <w:rPr>
                <w:color w:val="000000" w:themeColor="text1"/>
                <w:sz w:val="24"/>
                <w:szCs w:val="24"/>
                <w:lang w:val="pt-BR"/>
              </w:rPr>
              <w:t>Abr</w:t>
            </w:r>
            <w:proofErr w:type="spellEnd"/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6D1702" w:rsidRDefault="006D170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J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airo</w:t>
            </w: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 S</w:t>
            </w:r>
            <w:r w:rsidRPr="006D1702">
              <w:rPr>
                <w:color w:val="000000" w:themeColor="text1"/>
                <w:sz w:val="24"/>
                <w:szCs w:val="24"/>
                <w:lang w:val="pt-BR"/>
              </w:rPr>
              <w:t>ilva</w:t>
            </w:r>
          </w:p>
          <w:p w:rsidR="00780B05" w:rsidRP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0429AF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8A6DC9" w:rsidRPr="008A6DC9" w:rsidRDefault="008A6DC9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te</w:t>
      </w:r>
      <w:r w:rsidRPr="008A6DC9">
        <w:rPr>
          <w:lang w:val="pt-BR"/>
        </w:rPr>
        <w:t>rmino</w:t>
      </w:r>
      <w:r>
        <w:rPr>
          <w:lang w:val="pt-BR"/>
        </w:rPr>
        <w:t>u</w:t>
      </w:r>
      <w:r w:rsidRPr="008A6DC9">
        <w:rPr>
          <w:lang w:val="pt-BR"/>
        </w:rPr>
        <w:t xml:space="preserve"> o desenvolvimento de estrutura de validação ‘server </w:t>
      </w:r>
      <w:proofErr w:type="spellStart"/>
      <w:r w:rsidRPr="008A6DC9">
        <w:rPr>
          <w:lang w:val="pt-BR"/>
        </w:rPr>
        <w:t>side</w:t>
      </w:r>
      <w:proofErr w:type="spellEnd"/>
      <w:r w:rsidRPr="008A6DC9">
        <w:rPr>
          <w:lang w:val="pt-BR"/>
        </w:rPr>
        <w:t>’.</w:t>
      </w:r>
    </w:p>
    <w:p w:rsidR="008A6DC9" w:rsidRPr="008A6DC9" w:rsidRDefault="008A6DC9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proofErr w:type="spellStart"/>
      <w:r>
        <w:rPr>
          <w:lang w:val="pt-BR"/>
        </w:rPr>
        <w:t>r</w:t>
      </w:r>
      <w:r w:rsidRPr="008A6DC9">
        <w:rPr>
          <w:lang w:val="pt-BR"/>
        </w:rPr>
        <w:t>efatoração</w:t>
      </w:r>
      <w:proofErr w:type="spellEnd"/>
      <w:r w:rsidRPr="008A6DC9">
        <w:rPr>
          <w:lang w:val="pt-BR"/>
        </w:rPr>
        <w:t xml:space="preserve"> da paginação e ordenação das tabelas e consequente </w:t>
      </w:r>
      <w:proofErr w:type="spellStart"/>
      <w:r w:rsidRPr="008A6DC9">
        <w:rPr>
          <w:lang w:val="pt-BR"/>
        </w:rPr>
        <w:t>componentização</w:t>
      </w:r>
      <w:proofErr w:type="spellEnd"/>
      <w:r w:rsidRPr="008A6DC9">
        <w:rPr>
          <w:lang w:val="pt-BR"/>
        </w:rPr>
        <w:t xml:space="preserve"> </w:t>
      </w:r>
      <w:r>
        <w:rPr>
          <w:lang w:val="pt-BR"/>
        </w:rPr>
        <w:t xml:space="preserve">está </w:t>
      </w:r>
      <w:r w:rsidRPr="008A6DC9">
        <w:rPr>
          <w:lang w:val="pt-BR"/>
        </w:rPr>
        <w:t>em desenvolvimento</w:t>
      </w:r>
      <w:r>
        <w:rPr>
          <w:lang w:val="pt-BR"/>
        </w:rPr>
        <w:t xml:space="preserve"> e com o </w:t>
      </w:r>
      <w:r w:rsidRPr="008A6DC9">
        <w:rPr>
          <w:lang w:val="pt-BR"/>
        </w:rPr>
        <w:t>término previsto 26/04/2016.</w:t>
      </w:r>
    </w:p>
    <w:p w:rsidR="008A6DC9" w:rsidRPr="008A6DC9" w:rsidRDefault="001307B3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 xml:space="preserve">está fazendo a </w:t>
      </w:r>
      <w:proofErr w:type="spellStart"/>
      <w:r>
        <w:rPr>
          <w:lang w:val="pt-BR"/>
        </w:rPr>
        <w:t>r</w:t>
      </w:r>
      <w:r w:rsidR="008A6DC9" w:rsidRPr="008A6DC9">
        <w:rPr>
          <w:lang w:val="pt-BR"/>
        </w:rPr>
        <w:t>efatoração</w:t>
      </w:r>
      <w:proofErr w:type="spellEnd"/>
      <w:r w:rsidR="008A6DC9" w:rsidRPr="008A6DC9">
        <w:rPr>
          <w:lang w:val="pt-BR"/>
        </w:rPr>
        <w:t xml:space="preserve"> da nomenclatura dos módulos e </w:t>
      </w:r>
      <w:proofErr w:type="spellStart"/>
      <w:r w:rsidR="008A6DC9" w:rsidRPr="008A6DC9">
        <w:rPr>
          <w:lang w:val="pt-BR"/>
        </w:rPr>
        <w:t>submódulos</w:t>
      </w:r>
      <w:proofErr w:type="spellEnd"/>
      <w:r w:rsidR="008A6DC9" w:rsidRPr="008A6DC9">
        <w:rPr>
          <w:lang w:val="pt-BR"/>
        </w:rPr>
        <w:t xml:space="preserve"> do </w:t>
      </w:r>
      <w:proofErr w:type="spellStart"/>
      <w:r w:rsidR="008A6DC9" w:rsidRPr="008A6DC9">
        <w:rPr>
          <w:lang w:val="pt-BR"/>
        </w:rPr>
        <w:t>maven</w:t>
      </w:r>
      <w:proofErr w:type="spellEnd"/>
      <w:r w:rsidR="008A6DC9" w:rsidRPr="008A6DC9">
        <w:rPr>
          <w:lang w:val="pt-BR"/>
        </w:rPr>
        <w:t>, a pedido do João Paulo.</w:t>
      </w:r>
    </w:p>
    <w:p w:rsidR="008A6DC9" w:rsidRPr="008A6DC9" w:rsidRDefault="001307B3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a c</w:t>
      </w:r>
      <w:r w:rsidR="008A6DC9" w:rsidRPr="008A6DC9">
        <w:rPr>
          <w:lang w:val="pt-BR"/>
        </w:rPr>
        <w:t>riação de e</w:t>
      </w:r>
      <w:r>
        <w:rPr>
          <w:lang w:val="pt-BR"/>
        </w:rPr>
        <w:t>strutura de exceções do sistema foi concluída.</w:t>
      </w:r>
    </w:p>
    <w:p w:rsidR="008A6DC9" w:rsidRPr="008A6DC9" w:rsidRDefault="001307B3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que </w:t>
      </w:r>
      <w:r>
        <w:rPr>
          <w:lang w:val="pt-BR"/>
        </w:rPr>
        <w:t>c</w:t>
      </w:r>
      <w:r w:rsidR="008A6DC9" w:rsidRPr="008A6DC9">
        <w:rPr>
          <w:lang w:val="pt-BR"/>
        </w:rPr>
        <w:t>riação de ambiente de homologação</w:t>
      </w:r>
      <w:r>
        <w:rPr>
          <w:lang w:val="pt-BR"/>
        </w:rPr>
        <w:t xml:space="preserve"> foi concluída</w:t>
      </w:r>
      <w:r w:rsidR="008A6DC9" w:rsidRPr="008A6DC9">
        <w:rPr>
          <w:lang w:val="pt-BR"/>
        </w:rPr>
        <w:t>.</w:t>
      </w:r>
    </w:p>
    <w:p w:rsidR="008A6DC9" w:rsidRPr="008A6DC9" w:rsidRDefault="001307B3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B334F3">
        <w:rPr>
          <w:lang w:val="pt-BR"/>
        </w:rPr>
        <w:t xml:space="preserve">A NT Consult informou que </w:t>
      </w:r>
      <w:r>
        <w:rPr>
          <w:lang w:val="pt-BR"/>
        </w:rPr>
        <w:t>a primeira etapa r</w:t>
      </w:r>
      <w:r w:rsidRPr="00B334F3">
        <w:rPr>
          <w:lang w:val="pt-BR"/>
        </w:rPr>
        <w:t xml:space="preserve">elativa </w:t>
      </w:r>
      <w:r>
        <w:rPr>
          <w:lang w:val="pt-BR"/>
        </w:rPr>
        <w:t xml:space="preserve">a customização do </w:t>
      </w:r>
      <w:r w:rsidRPr="00B334F3">
        <w:rPr>
          <w:lang w:val="pt-BR"/>
        </w:rPr>
        <w:t xml:space="preserve">SOS </w:t>
      </w:r>
      <w:r>
        <w:rPr>
          <w:lang w:val="pt-BR"/>
        </w:rPr>
        <w:t xml:space="preserve">foi concluída e já esta disponível. </w:t>
      </w:r>
      <w:r w:rsidRPr="00B334F3">
        <w:rPr>
          <w:lang w:val="pt-BR"/>
        </w:rPr>
        <w:t xml:space="preserve"> </w:t>
      </w:r>
      <w:r>
        <w:rPr>
          <w:lang w:val="pt-BR"/>
        </w:rPr>
        <w:t>Q</w:t>
      </w:r>
      <w:r>
        <w:rPr>
          <w:lang w:val="pt-BR"/>
        </w:rPr>
        <w:t xml:space="preserve">ue </w:t>
      </w:r>
      <w:r>
        <w:rPr>
          <w:lang w:val="pt-BR"/>
        </w:rPr>
        <w:t>i</w:t>
      </w:r>
      <w:r w:rsidR="008A6DC9" w:rsidRPr="008A6DC9">
        <w:rPr>
          <w:lang w:val="pt-BR"/>
        </w:rPr>
        <w:t>nclui</w:t>
      </w:r>
      <w:r>
        <w:rPr>
          <w:lang w:val="pt-BR"/>
        </w:rPr>
        <w:t>u no SOS o</w:t>
      </w:r>
      <w:r w:rsidR="008A6DC9" w:rsidRPr="008A6DC9">
        <w:rPr>
          <w:lang w:val="pt-BR"/>
        </w:rPr>
        <w:t xml:space="preserve"> campo para informar o número total de pontos de função da OS, </w:t>
      </w:r>
      <w:r>
        <w:rPr>
          <w:lang w:val="pt-BR"/>
        </w:rPr>
        <w:t>c</w:t>
      </w:r>
      <w:r w:rsidR="008A6DC9" w:rsidRPr="008A6DC9">
        <w:rPr>
          <w:lang w:val="pt-BR"/>
        </w:rPr>
        <w:t>alcular automaticamente o prazo de fim da OS, e liberar os campos de início e fim da OS para ser informados pelo usuário solicitante.</w:t>
      </w:r>
    </w:p>
    <w:p w:rsidR="008A6DC9" w:rsidRDefault="001307B3" w:rsidP="008A6DC9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 xml:space="preserve">A NT Consult informou </w:t>
      </w:r>
      <w:r>
        <w:rPr>
          <w:lang w:val="pt-BR"/>
        </w:rPr>
        <w:t>s</w:t>
      </w:r>
      <w:r w:rsidR="008A6DC9" w:rsidRPr="008A6DC9">
        <w:rPr>
          <w:lang w:val="pt-BR"/>
        </w:rPr>
        <w:t>olicit</w:t>
      </w:r>
      <w:r>
        <w:rPr>
          <w:lang w:val="pt-BR"/>
        </w:rPr>
        <w:t>ou</w:t>
      </w:r>
      <w:r w:rsidR="008A6DC9" w:rsidRPr="008A6DC9">
        <w:rPr>
          <w:lang w:val="pt-BR"/>
        </w:rPr>
        <w:t xml:space="preserve"> criar usu</w:t>
      </w:r>
      <w:r>
        <w:rPr>
          <w:lang w:val="pt-BR"/>
        </w:rPr>
        <w:t xml:space="preserve">ários na ferramenta de </w:t>
      </w:r>
      <w:proofErr w:type="spellStart"/>
      <w:r>
        <w:rPr>
          <w:lang w:val="pt-BR"/>
        </w:rPr>
        <w:t>TestLink</w:t>
      </w:r>
      <w:proofErr w:type="spellEnd"/>
      <w:r>
        <w:rPr>
          <w:lang w:val="pt-BR"/>
        </w:rPr>
        <w:t xml:space="preserve"> para a equipe de testes da NT Consult.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0429AF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CV Entregue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CV Entregue em </w:t>
            </w:r>
            <w:r w:rsidR="00851FC3">
              <w:rPr>
                <w:color w:val="auto"/>
                <w:sz w:val="20"/>
                <w:szCs w:val="20"/>
                <w:lang w:val="pt-BR"/>
              </w:rPr>
              <w:t>19/04/2016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487E86" w:rsidP="00487E86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</w:t>
            </w:r>
            <w:r w:rsidR="008F54E2">
              <w:rPr>
                <w:color w:val="auto"/>
                <w:sz w:val="20"/>
                <w:szCs w:val="20"/>
                <w:lang w:val="pt-BR"/>
              </w:rPr>
              <w:t xml:space="preserve"> em </w:t>
            </w:r>
            <w:r>
              <w:rPr>
                <w:color w:val="auto"/>
                <w:sz w:val="20"/>
                <w:szCs w:val="20"/>
                <w:lang w:val="pt-BR"/>
              </w:rPr>
              <w:t>22</w:t>
            </w:r>
            <w:r w:rsidR="008F54E2">
              <w:rPr>
                <w:color w:val="auto"/>
                <w:sz w:val="20"/>
                <w:szCs w:val="20"/>
                <w:lang w:val="pt-BR"/>
              </w:rPr>
              <w:t>/03/2016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5A5267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8F54E2">
              <w:rPr>
                <w:color w:val="auto"/>
                <w:sz w:val="20"/>
                <w:szCs w:val="20"/>
                <w:lang w:val="pt-BR"/>
              </w:rPr>
              <w:t>16/03/2016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>
              <w:rPr>
                <w:color w:val="auto"/>
                <w:sz w:val="20"/>
                <w:szCs w:val="20"/>
                <w:lang w:val="pt-BR"/>
              </w:rPr>
              <w:t>27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04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5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A02B4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proofErr w:type="spellStart"/>
            <w:proofErr w:type="gramStart"/>
            <w:r>
              <w:rPr>
                <w:color w:val="auto"/>
                <w:sz w:val="20"/>
                <w:szCs w:val="20"/>
                <w:lang w:val="pt-BR"/>
              </w:rPr>
              <w:t>CVs</w:t>
            </w:r>
            <w:proofErr w:type="spellEnd"/>
            <w:r>
              <w:rPr>
                <w:color w:val="auto"/>
                <w:sz w:val="20"/>
                <w:szCs w:val="20"/>
                <w:lang w:val="pt-BR"/>
              </w:rPr>
              <w:t xml:space="preserve"> Entregues</w:t>
            </w:r>
            <w:proofErr w:type="gramEnd"/>
            <w:r>
              <w:rPr>
                <w:color w:val="auto"/>
                <w:sz w:val="20"/>
                <w:szCs w:val="20"/>
                <w:lang w:val="pt-BR"/>
              </w:rPr>
              <w:t xml:space="preserve"> em</w:t>
            </w:r>
            <w:r w:rsidR="00851FC3">
              <w:rPr>
                <w:color w:val="auto"/>
                <w:sz w:val="20"/>
                <w:szCs w:val="20"/>
                <w:lang w:val="pt-BR"/>
              </w:rPr>
              <w:t xml:space="preserve"> 19/04/2016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5A5267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5267" w:rsidRPr="00EC24E5" w:rsidRDefault="005A5267" w:rsidP="005A5267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>
              <w:rPr>
                <w:color w:val="auto"/>
                <w:sz w:val="20"/>
                <w:szCs w:val="20"/>
                <w:lang w:val="pt-BR"/>
              </w:rPr>
              <w:t>27</w:t>
            </w:r>
            <w:bookmarkStart w:id="0" w:name="_GoBack"/>
            <w:bookmarkEnd w:id="0"/>
            <w:r w:rsidR="007F7C23"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FC1" w:rsidRDefault="00944FC1" w:rsidP="007E629E">
      <w:pPr>
        <w:spacing w:before="0" w:after="0"/>
      </w:pPr>
      <w:r>
        <w:separator/>
      </w:r>
    </w:p>
  </w:endnote>
  <w:endnote w:type="continuationSeparator" w:id="0">
    <w:p w:rsidR="00944FC1" w:rsidRDefault="00944FC1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307B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944FC1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378164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FC1" w:rsidRDefault="00944FC1" w:rsidP="007E629E">
      <w:pPr>
        <w:spacing w:before="0" w:after="0"/>
      </w:pPr>
      <w:r>
        <w:separator/>
      </w:r>
    </w:p>
  </w:footnote>
  <w:footnote w:type="continuationSeparator" w:id="0">
    <w:p w:rsidR="00944FC1" w:rsidRDefault="00944FC1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944FC1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60BFC"/>
    <w:rsid w:val="00375DDB"/>
    <w:rsid w:val="0039070B"/>
    <w:rsid w:val="003B0928"/>
    <w:rsid w:val="003B6FF6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B4E65"/>
    <w:rsid w:val="005E6F8B"/>
    <w:rsid w:val="005F1991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E629E"/>
    <w:rsid w:val="007F7C23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E271E"/>
    <w:rsid w:val="008E51BD"/>
    <w:rsid w:val="008E672E"/>
    <w:rsid w:val="008F08B1"/>
    <w:rsid w:val="008F1566"/>
    <w:rsid w:val="008F54E2"/>
    <w:rsid w:val="008F5CDF"/>
    <w:rsid w:val="00902929"/>
    <w:rsid w:val="0093215A"/>
    <w:rsid w:val="00933F2D"/>
    <w:rsid w:val="0094382D"/>
    <w:rsid w:val="00944FC1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52D37DB8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5</cp:revision>
  <dcterms:created xsi:type="dcterms:W3CDTF">2016-05-03T13:57:00Z</dcterms:created>
  <dcterms:modified xsi:type="dcterms:W3CDTF">2016-05-03T14:54:00Z</dcterms:modified>
</cp:coreProperties>
</file>