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ACC" w:rsidRPr="00B15ACC" w:rsidRDefault="00B15ACC" w:rsidP="00B15ACC">
      <w:pPr>
        <w:spacing w:after="200" w:line="276" w:lineRule="auto"/>
        <w:rPr>
          <w:rFonts w:ascii="Arial" w:eastAsia="Times New Roman" w:hAnsi="Arial" w:cs="Arial"/>
          <w:b/>
          <w:color w:val="44546A" w:themeColor="text2"/>
          <w:sz w:val="24"/>
          <w:szCs w:val="24"/>
        </w:rPr>
      </w:pPr>
      <w:bookmarkStart w:id="0" w:name="_GoBack"/>
      <w:r w:rsidRPr="00B15ACC">
        <w:rPr>
          <w:rFonts w:ascii="Arial" w:eastAsia="Times New Roman" w:hAnsi="Arial" w:cs="Arial"/>
          <w:b/>
          <w:color w:val="44546A" w:themeColor="text2"/>
          <w:sz w:val="24"/>
          <w:szCs w:val="24"/>
        </w:rPr>
        <w:t>Parecer Técnico – Revisão Contagem de Pontos de Função OS 4757</w:t>
      </w:r>
    </w:p>
    <w:bookmarkEnd w:id="0"/>
    <w:p w:rsidR="00B15ACC" w:rsidRPr="00B15ACC" w:rsidRDefault="00B15ACC" w:rsidP="00B15ACC">
      <w:pPr>
        <w:spacing w:after="200" w:line="276" w:lineRule="auto"/>
        <w:rPr>
          <w:rFonts w:ascii="Arial" w:eastAsia="Times New Roman" w:hAnsi="Arial" w:cs="Arial"/>
          <w:b/>
          <w:sz w:val="24"/>
          <w:szCs w:val="24"/>
        </w:rPr>
      </w:pPr>
      <w:r w:rsidRPr="00B15ACC">
        <w:rPr>
          <w:rFonts w:ascii="Arial" w:eastAsia="Times New Roman" w:hAnsi="Arial" w:cs="Arial"/>
          <w:b/>
          <w:sz w:val="24"/>
          <w:szCs w:val="24"/>
        </w:rPr>
        <w:t>Autora: Claudia Hazan</w:t>
      </w:r>
    </w:p>
    <w:p w:rsidR="00B15ACC" w:rsidRPr="00B15ACC" w:rsidRDefault="00B15ACC" w:rsidP="00B15ACC">
      <w:pPr>
        <w:spacing w:after="200" w:line="276" w:lineRule="auto"/>
        <w:jc w:val="both"/>
        <w:rPr>
          <w:rFonts w:ascii="Arial" w:eastAsia="Times New Roman" w:hAnsi="Arial" w:cs="Arial"/>
          <w:sz w:val="24"/>
          <w:szCs w:val="24"/>
        </w:rPr>
      </w:pPr>
      <w:r w:rsidRPr="00B15ACC">
        <w:rPr>
          <w:rFonts w:ascii="Arial" w:eastAsia="Times New Roman" w:hAnsi="Arial" w:cs="Arial"/>
          <w:sz w:val="24"/>
          <w:szCs w:val="24"/>
        </w:rPr>
        <w:t>Este documento tem como propósito dirimir dúvidas quanto as divergências apresentadas na contagem inicial e final da OS4757.</w:t>
      </w:r>
    </w:p>
    <w:p w:rsidR="00B15ACC" w:rsidRPr="00B15ACC" w:rsidRDefault="00B15ACC" w:rsidP="00B15ACC">
      <w:pPr>
        <w:numPr>
          <w:ilvl w:val="0"/>
          <w:numId w:val="3"/>
        </w:numPr>
        <w:spacing w:after="200" w:line="276" w:lineRule="auto"/>
        <w:contextualSpacing/>
        <w:jc w:val="both"/>
        <w:rPr>
          <w:rFonts w:ascii="Arial" w:eastAsia="Times New Roman" w:hAnsi="Arial" w:cs="Arial"/>
          <w:sz w:val="24"/>
          <w:szCs w:val="24"/>
        </w:rPr>
      </w:pPr>
      <w:r w:rsidRPr="00B15ACC">
        <w:rPr>
          <w:rFonts w:ascii="Arial" w:eastAsia="Times New Roman" w:hAnsi="Arial" w:cs="Arial"/>
          <w:sz w:val="24"/>
          <w:szCs w:val="24"/>
        </w:rPr>
        <w:t>Contagem do AIE Certificado Digital</w:t>
      </w:r>
    </w:p>
    <w:p w:rsidR="00B15ACC" w:rsidRPr="00B15ACC" w:rsidRDefault="00B15ACC" w:rsidP="00B15ACC">
      <w:pPr>
        <w:spacing w:after="200" w:line="276" w:lineRule="auto"/>
        <w:ind w:left="720"/>
        <w:contextualSpacing/>
        <w:jc w:val="both"/>
        <w:rPr>
          <w:rFonts w:ascii="Arial" w:eastAsia="Times New Roman" w:hAnsi="Arial" w:cs="Arial"/>
          <w:sz w:val="24"/>
          <w:szCs w:val="24"/>
        </w:rPr>
      </w:pPr>
      <w:r w:rsidRPr="00B15ACC">
        <w:rPr>
          <w:rFonts w:ascii="Arial" w:eastAsia="Times New Roman" w:hAnsi="Arial" w:cs="Arial"/>
          <w:sz w:val="24"/>
          <w:szCs w:val="24"/>
        </w:rPr>
        <w:t xml:space="preserve">O AIE Certificado Digital foi incluído na contagem de PF porque foi verificado com o Analista de Requisitos que o sistema deve validar os dados do Certificado Digital em um Sistema externo. </w:t>
      </w:r>
    </w:p>
    <w:p w:rsidR="00B15ACC" w:rsidRPr="00B15ACC" w:rsidRDefault="00B15ACC" w:rsidP="00B15ACC">
      <w:pPr>
        <w:spacing w:after="200" w:line="276" w:lineRule="auto"/>
        <w:ind w:left="720"/>
        <w:contextualSpacing/>
        <w:jc w:val="both"/>
        <w:rPr>
          <w:rFonts w:ascii="Arial" w:eastAsia="Times New Roman" w:hAnsi="Arial" w:cs="Arial"/>
          <w:sz w:val="24"/>
          <w:szCs w:val="24"/>
        </w:rPr>
      </w:pPr>
    </w:p>
    <w:p w:rsidR="00B15ACC" w:rsidRPr="00B15ACC" w:rsidRDefault="00B15ACC" w:rsidP="00B15ACC">
      <w:pPr>
        <w:numPr>
          <w:ilvl w:val="0"/>
          <w:numId w:val="3"/>
        </w:numPr>
        <w:spacing w:after="200" w:line="276" w:lineRule="auto"/>
        <w:contextualSpacing/>
        <w:jc w:val="both"/>
        <w:rPr>
          <w:rFonts w:ascii="Arial" w:eastAsia="Times New Roman" w:hAnsi="Arial" w:cs="Arial"/>
          <w:sz w:val="24"/>
          <w:szCs w:val="24"/>
        </w:rPr>
      </w:pPr>
      <w:r w:rsidRPr="00B15ACC">
        <w:rPr>
          <w:rFonts w:ascii="Arial" w:eastAsia="Times New Roman" w:hAnsi="Arial" w:cs="Arial"/>
          <w:sz w:val="24"/>
          <w:szCs w:val="24"/>
        </w:rPr>
        <w:t>Contagem do AIE LDAP</w:t>
      </w:r>
    </w:p>
    <w:p w:rsidR="00B15ACC" w:rsidRPr="00B15ACC" w:rsidRDefault="00B15ACC" w:rsidP="00B15ACC">
      <w:pPr>
        <w:spacing w:after="200" w:line="276" w:lineRule="auto"/>
        <w:ind w:left="720"/>
        <w:contextualSpacing/>
        <w:jc w:val="both"/>
        <w:rPr>
          <w:rFonts w:ascii="Arial" w:eastAsia="Times New Roman" w:hAnsi="Arial" w:cs="Arial"/>
          <w:sz w:val="24"/>
          <w:szCs w:val="24"/>
        </w:rPr>
      </w:pPr>
      <w:r w:rsidRPr="00B15ACC">
        <w:rPr>
          <w:rFonts w:ascii="Arial" w:eastAsia="Times New Roman" w:hAnsi="Arial" w:cs="Arial"/>
          <w:sz w:val="24"/>
          <w:szCs w:val="24"/>
        </w:rPr>
        <w:t xml:space="preserve">O AIE LDAP foi incluído na contagem de PF foi verificado com o Analista de Requisitos que o sistema valida a senha do usuário na base de dados LDAP. A Senha do usuário não é armazenada na aplicação, portanto o TD Senha foi retirado do ALI Usuário. </w:t>
      </w:r>
    </w:p>
    <w:p w:rsidR="00B15ACC" w:rsidRPr="00B15ACC" w:rsidRDefault="00B15ACC" w:rsidP="00B15ACC">
      <w:pPr>
        <w:spacing w:after="200" w:line="276" w:lineRule="auto"/>
        <w:ind w:left="720"/>
        <w:contextualSpacing/>
        <w:jc w:val="both"/>
        <w:rPr>
          <w:rFonts w:ascii="Arial" w:eastAsia="Times New Roman" w:hAnsi="Arial" w:cs="Arial"/>
          <w:sz w:val="24"/>
          <w:szCs w:val="24"/>
        </w:rPr>
      </w:pPr>
    </w:p>
    <w:p w:rsidR="00B15ACC" w:rsidRPr="00B15ACC" w:rsidRDefault="00B15ACC" w:rsidP="00B15ACC">
      <w:pPr>
        <w:numPr>
          <w:ilvl w:val="0"/>
          <w:numId w:val="3"/>
        </w:numPr>
        <w:spacing w:after="200" w:line="276" w:lineRule="auto"/>
        <w:contextualSpacing/>
        <w:jc w:val="both"/>
        <w:rPr>
          <w:rFonts w:ascii="Arial" w:eastAsia="Times New Roman" w:hAnsi="Arial" w:cs="Arial"/>
          <w:sz w:val="24"/>
          <w:szCs w:val="24"/>
        </w:rPr>
      </w:pPr>
      <w:r w:rsidRPr="00B15ACC">
        <w:rPr>
          <w:rFonts w:ascii="Arial" w:eastAsia="Times New Roman" w:hAnsi="Arial" w:cs="Arial"/>
          <w:sz w:val="24"/>
          <w:szCs w:val="24"/>
        </w:rPr>
        <w:t>Contagem das Funções Apresentar Menu e Selecionar Perfil</w:t>
      </w:r>
    </w:p>
    <w:p w:rsidR="00B15ACC" w:rsidRPr="00B15ACC" w:rsidRDefault="00B15ACC" w:rsidP="00B15ACC">
      <w:pPr>
        <w:spacing w:after="200" w:line="276" w:lineRule="auto"/>
        <w:jc w:val="both"/>
        <w:rPr>
          <w:rFonts w:ascii="Arial" w:eastAsia="Times New Roman" w:hAnsi="Arial" w:cs="Arial"/>
          <w:sz w:val="24"/>
          <w:szCs w:val="24"/>
        </w:rPr>
      </w:pPr>
      <w:r w:rsidRPr="00B15ACC">
        <w:rPr>
          <w:rFonts w:ascii="Arial" w:eastAsia="Times New Roman" w:hAnsi="Arial" w:cs="Arial"/>
          <w:sz w:val="24"/>
          <w:szCs w:val="24"/>
        </w:rPr>
        <w:t xml:space="preserve">Embora Selecionar Perfil e Apresentar Menu estejam descritas em Casos de Uso distintos foi verificado que estas funções fazem parte de um mesmo processo elementar na Visão do Usuário. Porque a apresentação do menu ocorre de forma automática após a Seleção do Perfil. Ou seja, o sistema não pode apresentar o menu se o perfil não for selecionado e para o usuário não faz sentido apenas selecionar o perfil sem a apresentação do menu. </w:t>
      </w:r>
    </w:p>
    <w:p w:rsidR="00B15ACC" w:rsidRPr="00B15ACC" w:rsidRDefault="00B15ACC" w:rsidP="00B15ACC">
      <w:pPr>
        <w:numPr>
          <w:ilvl w:val="0"/>
          <w:numId w:val="3"/>
        </w:numPr>
        <w:spacing w:after="200" w:line="276" w:lineRule="auto"/>
        <w:contextualSpacing/>
        <w:jc w:val="both"/>
        <w:rPr>
          <w:rFonts w:ascii="Arial" w:eastAsia="Times New Roman" w:hAnsi="Arial" w:cs="Arial"/>
          <w:sz w:val="24"/>
          <w:szCs w:val="24"/>
        </w:rPr>
      </w:pPr>
      <w:r w:rsidRPr="00B15ACC">
        <w:rPr>
          <w:rFonts w:ascii="Arial" w:eastAsia="Times New Roman" w:hAnsi="Arial" w:cs="Arial"/>
          <w:sz w:val="24"/>
          <w:szCs w:val="24"/>
        </w:rPr>
        <w:t>Contagem das funções de dados Módulos, Perfil do Usuário e Opções do Menu</w:t>
      </w:r>
    </w:p>
    <w:p w:rsidR="00B15ACC" w:rsidRPr="00B15ACC" w:rsidRDefault="00B15ACC" w:rsidP="00B15ACC">
      <w:pPr>
        <w:spacing w:after="200" w:line="276" w:lineRule="auto"/>
        <w:ind w:left="708"/>
        <w:jc w:val="both"/>
        <w:rPr>
          <w:rFonts w:ascii="Arial" w:eastAsia="Times New Roman" w:hAnsi="Arial" w:cs="Arial"/>
          <w:sz w:val="24"/>
          <w:szCs w:val="24"/>
        </w:rPr>
      </w:pPr>
      <w:r w:rsidRPr="00B15ACC">
        <w:rPr>
          <w:rFonts w:ascii="Arial" w:eastAsia="Times New Roman" w:hAnsi="Arial" w:cs="Arial"/>
          <w:sz w:val="24"/>
          <w:szCs w:val="24"/>
        </w:rPr>
        <w:t>O manual de práticas de contagem CPM 4.3.1 preconiza que o ALI deve ser mantido por processos elementares da aplicação. Desta forma, foi decido contar os ALIs em questão na OS onde estão os processos elementares de manutenção destas funções de dados. Ou seja, estes ALIs foram contados em outras OSs.</w:t>
      </w:r>
    </w:p>
    <w:p w:rsidR="00B15ACC" w:rsidRPr="00B15ACC" w:rsidRDefault="00B15ACC" w:rsidP="00B15ACC">
      <w:pPr>
        <w:numPr>
          <w:ilvl w:val="0"/>
          <w:numId w:val="3"/>
        </w:numPr>
        <w:spacing w:after="200" w:line="276" w:lineRule="auto"/>
        <w:contextualSpacing/>
        <w:jc w:val="both"/>
        <w:rPr>
          <w:rFonts w:ascii="Arial" w:eastAsia="Times New Roman" w:hAnsi="Arial" w:cs="Arial"/>
          <w:sz w:val="24"/>
          <w:szCs w:val="24"/>
        </w:rPr>
      </w:pPr>
      <w:r w:rsidRPr="00B15ACC">
        <w:rPr>
          <w:rFonts w:ascii="Arial" w:eastAsia="Times New Roman" w:hAnsi="Arial" w:cs="Arial"/>
          <w:sz w:val="24"/>
          <w:szCs w:val="24"/>
        </w:rPr>
        <w:t xml:space="preserve">Contagem dos Serviços: Enviar e-mail para o Contribuinte; Gravar Log de Navegação; Registrar Tentativas Negadas ao Acesso de uma funcionalidade; Registrar as operações de alteração dos dados no banco de dados Oracle. </w:t>
      </w:r>
    </w:p>
    <w:p w:rsidR="00B15ACC" w:rsidRPr="00B15ACC" w:rsidRDefault="00B15ACC" w:rsidP="00B15ACC">
      <w:pPr>
        <w:spacing w:after="200" w:line="276" w:lineRule="auto"/>
        <w:ind w:left="360"/>
        <w:jc w:val="both"/>
        <w:rPr>
          <w:rFonts w:ascii="Arial" w:eastAsia="Times New Roman" w:hAnsi="Arial" w:cs="Arial"/>
          <w:sz w:val="24"/>
          <w:szCs w:val="24"/>
        </w:rPr>
      </w:pPr>
      <w:r w:rsidRPr="00B15ACC">
        <w:rPr>
          <w:rFonts w:ascii="Arial" w:eastAsia="Times New Roman" w:hAnsi="Arial" w:cs="Arial"/>
          <w:sz w:val="24"/>
          <w:szCs w:val="24"/>
        </w:rPr>
        <w:t xml:space="preserve">De fato, estes Serviços fazem parte de outras funcionalidades, e poderiam ser contados como parte dos processos elementares das funcionalidades em questão. No entanto, em aderência o Roteiro de Métricas SISP, contagem de Componentes, estes Serviços podem ser tratados como Componentes e contados a parte como funcionalidades. Assim, as funcionalidades que </w:t>
      </w:r>
      <w:r w:rsidRPr="00B15ACC">
        <w:rPr>
          <w:rFonts w:ascii="Arial" w:eastAsia="Times New Roman" w:hAnsi="Arial" w:cs="Arial"/>
          <w:sz w:val="24"/>
          <w:szCs w:val="24"/>
        </w:rPr>
        <w:lastRenderedPageBreak/>
        <w:t>chamarem estes Serviços não considerarão as funções realiadas por estes Serviços na Contagem.</w:t>
      </w:r>
    </w:p>
    <w:p w:rsidR="00B15ACC" w:rsidRPr="00B15ACC" w:rsidRDefault="00B15ACC" w:rsidP="00B15ACC">
      <w:pPr>
        <w:spacing w:after="200" w:line="276" w:lineRule="auto"/>
        <w:jc w:val="both"/>
        <w:rPr>
          <w:rFonts w:ascii="Arial" w:eastAsia="Times New Roman" w:hAnsi="Arial" w:cs="Arial"/>
          <w:sz w:val="24"/>
          <w:szCs w:val="24"/>
        </w:rPr>
      </w:pPr>
    </w:p>
    <w:p w:rsidR="00B15ACC" w:rsidRPr="00B15ACC" w:rsidRDefault="00B15ACC" w:rsidP="00B15ACC">
      <w:pPr>
        <w:spacing w:after="200" w:line="276" w:lineRule="auto"/>
        <w:jc w:val="both"/>
        <w:rPr>
          <w:rFonts w:ascii="Arial" w:eastAsia="Times New Roman" w:hAnsi="Arial" w:cs="Arial"/>
          <w:b/>
          <w:sz w:val="24"/>
          <w:szCs w:val="24"/>
          <w:u w:val="single"/>
        </w:rPr>
      </w:pPr>
      <w:r w:rsidRPr="00B15ACC">
        <w:rPr>
          <w:rFonts w:ascii="Arial" w:eastAsia="Times New Roman" w:hAnsi="Arial" w:cs="Arial"/>
          <w:b/>
          <w:sz w:val="24"/>
          <w:szCs w:val="24"/>
          <w:u w:val="single"/>
        </w:rPr>
        <w:t>Conclusão:</w:t>
      </w:r>
    </w:p>
    <w:p w:rsidR="00B15ACC" w:rsidRPr="00B15ACC" w:rsidRDefault="00B15ACC" w:rsidP="00B15ACC">
      <w:pPr>
        <w:spacing w:after="200" w:line="276" w:lineRule="auto"/>
        <w:jc w:val="both"/>
        <w:rPr>
          <w:rFonts w:ascii="Arial" w:eastAsia="Times New Roman" w:hAnsi="Arial" w:cs="Arial"/>
          <w:sz w:val="24"/>
          <w:szCs w:val="24"/>
        </w:rPr>
      </w:pPr>
      <w:r w:rsidRPr="00B15ACC">
        <w:rPr>
          <w:rFonts w:ascii="Arial" w:eastAsia="Times New Roman" w:hAnsi="Arial" w:cs="Arial"/>
          <w:sz w:val="24"/>
          <w:szCs w:val="24"/>
        </w:rPr>
        <w:t xml:space="preserve">A Contagem Final revisada passou de 84 PFs para </w:t>
      </w:r>
      <w:r w:rsidRPr="00B15ACC">
        <w:rPr>
          <w:rFonts w:ascii="Arial" w:eastAsia="Times New Roman" w:hAnsi="Arial" w:cs="Arial"/>
          <w:b/>
          <w:sz w:val="24"/>
          <w:szCs w:val="24"/>
        </w:rPr>
        <w:t>94 PFs</w:t>
      </w:r>
      <w:r w:rsidRPr="00B15ACC">
        <w:rPr>
          <w:rFonts w:ascii="Arial" w:eastAsia="Times New Roman" w:hAnsi="Arial" w:cs="Arial"/>
          <w:sz w:val="24"/>
          <w:szCs w:val="24"/>
        </w:rPr>
        <w:t xml:space="preserve"> por conta da inclusão dos AIEs LDAP e Certificado Digital na contagem. De acordo com a literatura é comum a variação média de 20% a 30% entre as contagem inicial e final, considerando o melhor entendimento dos requisitos no decorrer do processo de desenvolvimento de sistemas. </w:t>
      </w:r>
    </w:p>
    <w:p w:rsidR="008A4D56" w:rsidRPr="00B15ACC" w:rsidRDefault="008A4D56" w:rsidP="00B15ACC"/>
    <w:sectPr w:rsidR="008A4D56" w:rsidRPr="00B15ACC" w:rsidSect="00297376">
      <w:headerReference w:type="default" r:id="rId7"/>
      <w:footerReference w:type="default" r:id="rId8"/>
      <w:pgSz w:w="11906" w:h="16838"/>
      <w:pgMar w:top="1985" w:right="1701" w:bottom="1702"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837" w:rsidRDefault="00556837" w:rsidP="00924102">
      <w:r>
        <w:separator/>
      </w:r>
    </w:p>
  </w:endnote>
  <w:endnote w:type="continuationSeparator" w:id="0">
    <w:p w:rsidR="00556837" w:rsidRDefault="00556837" w:rsidP="00924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376" w:rsidRDefault="00297376" w:rsidP="00924102">
    <w:pPr>
      <w:pStyle w:val="Rodap"/>
      <w:rPr>
        <w:rStyle w:val="Nmerodepgina"/>
      </w:rPr>
    </w:pPr>
    <w:r>
      <w:rPr>
        <w:rStyle w:val="Nmerodepgina"/>
      </w:rPr>
      <w:fldChar w:fldCharType="begin"/>
    </w:r>
    <w:r>
      <w:rPr>
        <w:rStyle w:val="Nmerodepgina"/>
      </w:rPr>
      <w:instrText xml:space="preserve">PAGE  </w:instrText>
    </w:r>
    <w:r>
      <w:rPr>
        <w:rStyle w:val="Nmerodepgina"/>
      </w:rPr>
      <w:fldChar w:fldCharType="separate"/>
    </w:r>
    <w:r w:rsidR="00B15ACC">
      <w:rPr>
        <w:rStyle w:val="Nmerodepgina"/>
        <w:noProof/>
      </w:rPr>
      <w:t>1</w:t>
    </w:r>
    <w:r>
      <w:rPr>
        <w:rStyle w:val="Nmerodepgina"/>
      </w:rPr>
      <w:fldChar w:fldCharType="end"/>
    </w:r>
  </w:p>
  <w:p w:rsidR="00960027" w:rsidRPr="00297376" w:rsidRDefault="00556837" w:rsidP="00924102">
    <w:pPr>
      <w:pStyle w:val="Rodap"/>
    </w:pPr>
    <w:r>
      <w:rPr>
        <w:noProof/>
        <w:lang w:eastAsia="pt-BR"/>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margin-left:275.05pt;margin-top:-9.15pt;width:211.25pt;height:35.9pt;z-index:251656704">
          <v:imagedata r:id="rId1" o:title=""/>
        </v:shape>
        <o:OLEObject Type="Embed" ProgID="PBrush" ShapeID="_x0000_s2051" DrawAspect="Content" ObjectID="_1529232472" r:id="rId2"/>
      </w:obje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837" w:rsidRDefault="00556837" w:rsidP="00924102">
      <w:r>
        <w:separator/>
      </w:r>
    </w:p>
  </w:footnote>
  <w:footnote w:type="continuationSeparator" w:id="0">
    <w:p w:rsidR="00556837" w:rsidRDefault="00556837" w:rsidP="009241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0027" w:rsidRDefault="00600C6F" w:rsidP="00924102">
    <w:pPr>
      <w:pStyle w:val="Cabealho"/>
    </w:pPr>
    <w:r>
      <w:rPr>
        <w:noProof/>
        <w:lang w:eastAsia="pt-BR"/>
      </w:rPr>
      <w:drawing>
        <wp:anchor distT="0" distB="0" distL="114300" distR="114300" simplePos="0" relativeHeight="251658752" behindDoc="1" locked="0" layoutInCell="1" allowOverlap="1">
          <wp:simplePos x="0" y="0"/>
          <wp:positionH relativeFrom="page">
            <wp:posOffset>0</wp:posOffset>
          </wp:positionH>
          <wp:positionV relativeFrom="page">
            <wp:posOffset>0</wp:posOffset>
          </wp:positionV>
          <wp:extent cx="1348740" cy="1132205"/>
          <wp:effectExtent l="0" t="0" r="0" b="0"/>
          <wp:wrapNone/>
          <wp:docPr id="10"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9"/>
                  <pic:cNvPicPr>
                    <a:picLocks noChangeAspect="1" noChangeArrowheads="1"/>
                  </pic:cNvPicPr>
                </pic:nvPicPr>
                <pic:blipFill>
                  <a:blip r:embed="rId1">
                    <a:extLst>
                      <a:ext uri="{28A0092B-C50C-407E-A947-70E740481C1C}">
                        <a14:useLocalDpi xmlns:a14="http://schemas.microsoft.com/office/drawing/2010/main" val="0"/>
                      </a:ext>
                    </a:extLst>
                  </a:blip>
                  <a:srcRect r="81673"/>
                  <a:stretch>
                    <a:fillRect/>
                  </a:stretch>
                </pic:blipFill>
                <pic:spPr bwMode="auto">
                  <a:xfrm>
                    <a:off x="0" y="0"/>
                    <a:ext cx="1348740" cy="113220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pt-BR"/>
      </w:rPr>
      <w:drawing>
        <wp:anchor distT="0" distB="0" distL="114300" distR="114300" simplePos="0" relativeHeight="251657728" behindDoc="1" locked="0" layoutInCell="1" allowOverlap="1">
          <wp:simplePos x="0" y="0"/>
          <wp:positionH relativeFrom="page">
            <wp:posOffset>-6350</wp:posOffset>
          </wp:positionH>
          <wp:positionV relativeFrom="page">
            <wp:posOffset>-76200</wp:posOffset>
          </wp:positionV>
          <wp:extent cx="7513320" cy="1431290"/>
          <wp:effectExtent l="0" t="0" r="0" b="0"/>
          <wp:wrapNone/>
          <wp:docPr id="3"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13320" cy="1431290"/>
                  </a:xfrm>
                  <a:prstGeom prst="rect">
                    <a:avLst/>
                  </a:prstGeom>
                  <a:noFill/>
                </pic:spPr>
              </pic:pic>
            </a:graphicData>
          </a:graphic>
          <wp14:sizeRelH relativeFrom="page">
            <wp14:pctWidth>0</wp14:pctWidth>
          </wp14:sizeRelH>
          <wp14:sizeRelV relativeFrom="page">
            <wp14:pctHeight>0</wp14:pctHeight>
          </wp14:sizeRelV>
        </wp:anchor>
      </w:drawing>
    </w:r>
    <w:r w:rsidR="00A97376">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32A93"/>
    <w:multiLevelType w:val="hybridMultilevel"/>
    <w:tmpl w:val="2424C0D6"/>
    <w:lvl w:ilvl="0" w:tplc="04160017">
      <w:start w:val="1"/>
      <w:numFmt w:val="lowerLetter"/>
      <w:lvlText w:val="%1)"/>
      <w:lvlJc w:val="left"/>
      <w:pPr>
        <w:ind w:left="1800" w:hanging="360"/>
      </w:p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 w15:restartNumberingAfterBreak="0">
    <w:nsid w:val="39385537"/>
    <w:multiLevelType w:val="hybridMultilevel"/>
    <w:tmpl w:val="F0629C38"/>
    <w:lvl w:ilvl="0" w:tplc="0416000F">
      <w:start w:val="1"/>
      <w:numFmt w:val="decimal"/>
      <w:lvlText w:val="%1."/>
      <w:lvlJc w:val="left"/>
      <w:pPr>
        <w:ind w:left="1440" w:hanging="360"/>
      </w:pPr>
    </w:lvl>
    <w:lvl w:ilvl="1" w:tplc="04160019">
      <w:start w:val="1"/>
      <w:numFmt w:val="lowerLetter"/>
      <w:lvlText w:val="%2."/>
      <w:lvlJc w:val="left"/>
      <w:pPr>
        <w:ind w:left="2160" w:hanging="360"/>
      </w:pPr>
    </w:lvl>
    <w:lvl w:ilvl="2" w:tplc="0416001B">
      <w:start w:val="1"/>
      <w:numFmt w:val="lowerRoman"/>
      <w:lvlText w:val="%3."/>
      <w:lvlJc w:val="right"/>
      <w:pPr>
        <w:ind w:left="2880" w:hanging="180"/>
      </w:pPr>
    </w:lvl>
    <w:lvl w:ilvl="3" w:tplc="0416000F">
      <w:start w:val="1"/>
      <w:numFmt w:val="decimal"/>
      <w:lvlText w:val="%4."/>
      <w:lvlJc w:val="left"/>
      <w:pPr>
        <w:ind w:left="3600" w:hanging="360"/>
      </w:pPr>
    </w:lvl>
    <w:lvl w:ilvl="4" w:tplc="04160019">
      <w:start w:val="1"/>
      <w:numFmt w:val="lowerLetter"/>
      <w:lvlText w:val="%5."/>
      <w:lvlJc w:val="left"/>
      <w:pPr>
        <w:ind w:left="4320" w:hanging="360"/>
      </w:pPr>
    </w:lvl>
    <w:lvl w:ilvl="5" w:tplc="0416001B">
      <w:start w:val="1"/>
      <w:numFmt w:val="lowerRoman"/>
      <w:lvlText w:val="%6."/>
      <w:lvlJc w:val="right"/>
      <w:pPr>
        <w:ind w:left="5040" w:hanging="180"/>
      </w:pPr>
    </w:lvl>
    <w:lvl w:ilvl="6" w:tplc="0416000F">
      <w:start w:val="1"/>
      <w:numFmt w:val="decimal"/>
      <w:lvlText w:val="%7."/>
      <w:lvlJc w:val="left"/>
      <w:pPr>
        <w:ind w:left="5760" w:hanging="360"/>
      </w:pPr>
    </w:lvl>
    <w:lvl w:ilvl="7" w:tplc="04160019">
      <w:start w:val="1"/>
      <w:numFmt w:val="lowerLetter"/>
      <w:lvlText w:val="%8."/>
      <w:lvlJc w:val="left"/>
      <w:pPr>
        <w:ind w:left="6480" w:hanging="360"/>
      </w:pPr>
    </w:lvl>
    <w:lvl w:ilvl="8" w:tplc="0416001B">
      <w:start w:val="1"/>
      <w:numFmt w:val="lowerRoman"/>
      <w:lvlText w:val="%9."/>
      <w:lvlJc w:val="right"/>
      <w:pPr>
        <w:ind w:left="7200" w:hanging="180"/>
      </w:pPr>
    </w:lvl>
  </w:abstractNum>
  <w:abstractNum w:abstractNumId="2" w15:restartNumberingAfterBreak="0">
    <w:nsid w:val="3D5F3237"/>
    <w:multiLevelType w:val="hybridMultilevel"/>
    <w:tmpl w:val="87B0F424"/>
    <w:lvl w:ilvl="0" w:tplc="04160011">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activeWritingStyle w:appName="MSWord" w:lang="en-US" w:vendorID="64" w:dllVersion="131078" w:nlCheck="1" w:checkStyle="0"/>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27"/>
    <w:rsid w:val="00056837"/>
    <w:rsid w:val="00093EB1"/>
    <w:rsid w:val="000A2281"/>
    <w:rsid w:val="000B4468"/>
    <w:rsid w:val="000F2048"/>
    <w:rsid w:val="00156475"/>
    <w:rsid w:val="00190557"/>
    <w:rsid w:val="001F6161"/>
    <w:rsid w:val="00225F52"/>
    <w:rsid w:val="002336D0"/>
    <w:rsid w:val="00297376"/>
    <w:rsid w:val="00313213"/>
    <w:rsid w:val="00361C62"/>
    <w:rsid w:val="00385638"/>
    <w:rsid w:val="003D1AD3"/>
    <w:rsid w:val="0043338A"/>
    <w:rsid w:val="00480E00"/>
    <w:rsid w:val="004F14A2"/>
    <w:rsid w:val="00556837"/>
    <w:rsid w:val="00556919"/>
    <w:rsid w:val="005975CA"/>
    <w:rsid w:val="005A63C9"/>
    <w:rsid w:val="005A70B8"/>
    <w:rsid w:val="00600C6F"/>
    <w:rsid w:val="006153D7"/>
    <w:rsid w:val="006452AE"/>
    <w:rsid w:val="007254E1"/>
    <w:rsid w:val="00783B8C"/>
    <w:rsid w:val="007D2016"/>
    <w:rsid w:val="007D2B59"/>
    <w:rsid w:val="007D2D08"/>
    <w:rsid w:val="00803B5E"/>
    <w:rsid w:val="008A4D56"/>
    <w:rsid w:val="008F2C7A"/>
    <w:rsid w:val="00924102"/>
    <w:rsid w:val="00925F56"/>
    <w:rsid w:val="00960027"/>
    <w:rsid w:val="009856A5"/>
    <w:rsid w:val="009E34DD"/>
    <w:rsid w:val="009E710D"/>
    <w:rsid w:val="00A97376"/>
    <w:rsid w:val="00B15ACC"/>
    <w:rsid w:val="00BE3426"/>
    <w:rsid w:val="00BF2443"/>
    <w:rsid w:val="00C30C12"/>
    <w:rsid w:val="00C67F37"/>
    <w:rsid w:val="00CF5322"/>
    <w:rsid w:val="00D159F1"/>
    <w:rsid w:val="00D44690"/>
    <w:rsid w:val="00DD2F70"/>
    <w:rsid w:val="00F17486"/>
    <w:rsid w:val="00F52C00"/>
    <w:rsid w:val="00F77767"/>
    <w:rsid w:val="00F96C01"/>
    <w:rsid w:val="00FC17C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E2998E0"/>
  <w15:chartTrackingRefBased/>
  <w15:docId w15:val="{CD293558-F2E4-4D9C-95A2-3C70B837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4102"/>
    <w:pPr>
      <w:spacing w:after="120"/>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960027"/>
    <w:pPr>
      <w:tabs>
        <w:tab w:val="center" w:pos="4252"/>
        <w:tab w:val="right" w:pos="8504"/>
      </w:tabs>
      <w:spacing w:after="0"/>
    </w:pPr>
  </w:style>
  <w:style w:type="character" w:customStyle="1" w:styleId="CabealhoChar">
    <w:name w:val="Cabeçalho Char"/>
    <w:basedOn w:val="Fontepargpadro"/>
    <w:link w:val="Cabealho"/>
    <w:uiPriority w:val="99"/>
    <w:rsid w:val="00960027"/>
  </w:style>
  <w:style w:type="paragraph" w:styleId="Rodap">
    <w:name w:val="footer"/>
    <w:basedOn w:val="Normal"/>
    <w:link w:val="RodapChar"/>
    <w:uiPriority w:val="99"/>
    <w:unhideWhenUsed/>
    <w:rsid w:val="00960027"/>
    <w:pPr>
      <w:tabs>
        <w:tab w:val="center" w:pos="4252"/>
        <w:tab w:val="right" w:pos="8504"/>
      </w:tabs>
      <w:spacing w:after="0"/>
    </w:pPr>
  </w:style>
  <w:style w:type="character" w:customStyle="1" w:styleId="RodapChar">
    <w:name w:val="Rodapé Char"/>
    <w:basedOn w:val="Fontepargpadro"/>
    <w:link w:val="Rodap"/>
    <w:uiPriority w:val="99"/>
    <w:rsid w:val="00960027"/>
  </w:style>
  <w:style w:type="character" w:styleId="Nmerodepgina">
    <w:name w:val="page number"/>
    <w:uiPriority w:val="99"/>
    <w:semiHidden/>
    <w:unhideWhenUsed/>
    <w:rsid w:val="00297376"/>
  </w:style>
  <w:style w:type="paragraph" w:styleId="Corpodetexto">
    <w:name w:val="Body Text"/>
    <w:basedOn w:val="Normal"/>
    <w:link w:val="CorpodetextoChar"/>
    <w:rsid w:val="00600C6F"/>
    <w:pPr>
      <w:keepLines/>
      <w:widowControl w:val="0"/>
      <w:autoSpaceDE w:val="0"/>
      <w:autoSpaceDN w:val="0"/>
      <w:ind w:left="720"/>
    </w:pPr>
    <w:rPr>
      <w:rFonts w:eastAsia="Times New Roman"/>
      <w:snapToGrid w:val="0"/>
      <w:sz w:val="24"/>
      <w:szCs w:val="20"/>
      <w:lang w:val="en-US"/>
    </w:rPr>
  </w:style>
  <w:style w:type="character" w:customStyle="1" w:styleId="CorpodetextoChar">
    <w:name w:val="Corpo de texto Char"/>
    <w:basedOn w:val="Fontepargpadro"/>
    <w:link w:val="Corpodetexto"/>
    <w:rsid w:val="00600C6F"/>
    <w:rPr>
      <w:rFonts w:eastAsia="Times New Roman"/>
      <w:snapToGrid w:val="0"/>
      <w:sz w:val="24"/>
      <w:lang w:val="en-US" w:eastAsia="en-US"/>
    </w:rPr>
  </w:style>
  <w:style w:type="character" w:styleId="Hyperlink">
    <w:name w:val="Hyperlink"/>
    <w:uiPriority w:val="99"/>
    <w:rsid w:val="00600C6F"/>
    <w:rPr>
      <w:color w:val="0000FF"/>
      <w:u w:val="single"/>
    </w:rPr>
  </w:style>
  <w:style w:type="table" w:styleId="SombreamentoClaro-nfase5">
    <w:name w:val="Light Shading Accent 5"/>
    <w:basedOn w:val="Tabelanormal"/>
    <w:uiPriority w:val="60"/>
    <w:rsid w:val="00600C6F"/>
    <w:rPr>
      <w:rFonts w:eastAsia="Times New Roman"/>
      <w:color w:val="2F5496"/>
      <w:sz w:val="24"/>
      <w:szCs w:val="24"/>
      <w:lang w:val="en-US" w:eastAsia="ja-JP"/>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paragraph" w:styleId="PargrafodaLista">
    <w:name w:val="List Paragraph"/>
    <w:basedOn w:val="Normal"/>
    <w:uiPriority w:val="34"/>
    <w:qFormat/>
    <w:rsid w:val="00B15ACC"/>
    <w:pPr>
      <w:spacing w:after="200" w:line="276" w:lineRule="auto"/>
      <w:ind w:left="720"/>
      <w:contextualSpacing/>
    </w:pPr>
    <w:rPr>
      <w:rFonts w:asciiTheme="minorHAnsi" w:eastAsia="Times New Roman"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701720">
      <w:bodyDiv w:val="1"/>
      <w:marLeft w:val="0"/>
      <w:marRight w:val="0"/>
      <w:marTop w:val="0"/>
      <w:marBottom w:val="0"/>
      <w:divBdr>
        <w:top w:val="none" w:sz="0" w:space="0" w:color="auto"/>
        <w:left w:val="none" w:sz="0" w:space="0" w:color="auto"/>
        <w:bottom w:val="none" w:sz="0" w:space="0" w:color="auto"/>
        <w:right w:val="none" w:sz="0" w:space="0" w:color="auto"/>
      </w:divBdr>
    </w:div>
    <w:div w:id="1654679636">
      <w:bodyDiv w:val="1"/>
      <w:marLeft w:val="0"/>
      <w:marRight w:val="0"/>
      <w:marTop w:val="0"/>
      <w:marBottom w:val="0"/>
      <w:divBdr>
        <w:top w:val="none" w:sz="0" w:space="0" w:color="auto"/>
        <w:left w:val="none" w:sz="0" w:space="0" w:color="auto"/>
        <w:bottom w:val="none" w:sz="0" w:space="0" w:color="auto"/>
        <w:right w:val="none" w:sz="0" w:space="0" w:color="auto"/>
      </w:divBdr>
    </w:div>
    <w:div w:id="1656838956">
      <w:bodyDiv w:val="1"/>
      <w:marLeft w:val="0"/>
      <w:marRight w:val="0"/>
      <w:marTop w:val="0"/>
      <w:marBottom w:val="0"/>
      <w:divBdr>
        <w:top w:val="none" w:sz="0" w:space="0" w:color="auto"/>
        <w:left w:val="none" w:sz="0" w:space="0" w:color="auto"/>
        <w:bottom w:val="none" w:sz="0" w:space="0" w:color="auto"/>
        <w:right w:val="none" w:sz="0" w:space="0" w:color="auto"/>
      </w:divBdr>
    </w:div>
    <w:div w:id="1839229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2185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Laet</dc:creator>
  <cp:keywords/>
  <cp:lastModifiedBy>João Paulo Marquez</cp:lastModifiedBy>
  <cp:revision>2</cp:revision>
  <cp:lastPrinted>2016-07-04T17:59:00Z</cp:lastPrinted>
  <dcterms:created xsi:type="dcterms:W3CDTF">2016-07-05T17:01:00Z</dcterms:created>
  <dcterms:modified xsi:type="dcterms:W3CDTF">2016-07-05T17:01:00Z</dcterms:modified>
</cp:coreProperties>
</file>